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638F" w14:textId="77777777" w:rsidR="00F55E56" w:rsidRDefault="00D162BC" w:rsidP="008D24B9">
      <w:pPr>
        <w:jc w:val="center"/>
        <w:rPr>
          <w:b/>
        </w:rPr>
      </w:pPr>
      <w:bookmarkStart w:id="0" w:name="_GoBack"/>
      <w:bookmarkEnd w:id="0"/>
      <w:r w:rsidRPr="008D24B9">
        <w:rPr>
          <w:b/>
        </w:rPr>
        <w:t>Informe ABAC1 24-28 de febrero de 2016</w:t>
      </w:r>
    </w:p>
    <w:p w14:paraId="42AA337F" w14:textId="16867139" w:rsidR="004E6234" w:rsidRPr="008D24B9" w:rsidRDefault="004E6234" w:rsidP="008D24B9">
      <w:pPr>
        <w:jc w:val="center"/>
        <w:rPr>
          <w:b/>
        </w:rPr>
      </w:pPr>
      <w:r>
        <w:rPr>
          <w:b/>
        </w:rPr>
        <w:t>San Francisco, Estados Unidos</w:t>
      </w:r>
    </w:p>
    <w:p w14:paraId="111058A4" w14:textId="77777777" w:rsidR="008D24B9" w:rsidRDefault="008D24B9" w:rsidP="008D24B9">
      <w:pPr>
        <w:jc w:val="both"/>
      </w:pPr>
    </w:p>
    <w:p w14:paraId="218BAFC2" w14:textId="0CF41875" w:rsidR="008D24B9" w:rsidRDefault="008D24B9" w:rsidP="008D24B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2287C" w14:paraId="4580DE83" w14:textId="77777777" w:rsidTr="0072287C">
        <w:tc>
          <w:tcPr>
            <w:tcW w:w="8978" w:type="dxa"/>
          </w:tcPr>
          <w:p w14:paraId="0B5AEC1E" w14:textId="4AA725DF" w:rsidR="0072287C" w:rsidRPr="0072287C" w:rsidRDefault="0072287C" w:rsidP="0072287C">
            <w:pPr>
              <w:jc w:val="center"/>
              <w:rPr>
                <w:b/>
              </w:rPr>
            </w:pPr>
            <w:r>
              <w:rPr>
                <w:b/>
              </w:rPr>
              <w:t>Resumen ejecutivo</w:t>
            </w:r>
          </w:p>
          <w:p w14:paraId="61E912BE" w14:textId="78FF1DE7" w:rsidR="0072287C" w:rsidRDefault="0072287C" w:rsidP="004E6234">
            <w:pPr>
              <w:jc w:val="both"/>
            </w:pPr>
            <w:r>
              <w:t>En la primera reunión de ABAC en 2016 todos los temas estuvieron cruzados por la economía</w:t>
            </w:r>
            <w:r w:rsidR="004E6234">
              <w:t xml:space="preserve"> del internet</w:t>
            </w:r>
            <w:r>
              <w:t xml:space="preserve"> y el comercio digital. Los 5 grupos de trabajo delinearon sus planes de trabajo para el resto del año, y todos </w:t>
            </w:r>
            <w:r w:rsidR="004E6234">
              <w:t>abordarán</w:t>
            </w:r>
            <w:r>
              <w:t xml:space="preserve"> de alguna forma estos temas. También participaron los SOM, y hubo retroalimentación de </w:t>
            </w:r>
            <w:r w:rsidR="004E6234">
              <w:t xml:space="preserve">los </w:t>
            </w:r>
            <w:r>
              <w:t>sectores púb</w:t>
            </w:r>
            <w:r w:rsidR="004E6234">
              <w:t>l</w:t>
            </w:r>
            <w:r>
              <w:t xml:space="preserve">icos y privados. El TPP concitó gran atención, coincidiéndose también que el FTAAP es prontamente necesario, y enfatizándose que sus </w:t>
            </w:r>
            <w:proofErr w:type="spellStart"/>
            <w:r w:rsidRPr="008D24B9">
              <w:rPr>
                <w:i/>
              </w:rPr>
              <w:t>building</w:t>
            </w:r>
            <w:proofErr w:type="spellEnd"/>
            <w:r w:rsidRPr="008D24B9">
              <w:rPr>
                <w:i/>
              </w:rPr>
              <w:t xml:space="preserve"> blocks</w:t>
            </w:r>
            <w:r w:rsidR="004E6234">
              <w:rPr>
                <w:i/>
              </w:rPr>
              <w:t xml:space="preserve"> </w:t>
            </w:r>
            <w:r w:rsidR="004E6234">
              <w:t>deben ser la base del futuro acuerdo, y en lo posible ir más allá</w:t>
            </w:r>
            <w:r>
              <w:t xml:space="preserve">, </w:t>
            </w:r>
            <w:r w:rsidR="004E6234">
              <w:t>ponié</w:t>
            </w:r>
            <w:r>
              <w:t>ndo</w:t>
            </w:r>
            <w:r w:rsidR="004E6234">
              <w:t>se</w:t>
            </w:r>
            <w:r>
              <w:t xml:space="preserve"> </w:t>
            </w:r>
            <w:r w:rsidR="004E6234">
              <w:t xml:space="preserve">de ejemplo </w:t>
            </w:r>
            <w:r>
              <w:t xml:space="preserve">el </w:t>
            </w:r>
            <w:r w:rsidRPr="0072287C">
              <w:rPr>
                <w:i/>
              </w:rPr>
              <w:t>e-</w:t>
            </w:r>
            <w:proofErr w:type="spellStart"/>
            <w:r w:rsidRPr="0072287C">
              <w:rPr>
                <w:i/>
              </w:rPr>
              <w:t>commerce</w:t>
            </w:r>
            <w:proofErr w:type="spellEnd"/>
            <w:r>
              <w:t>.</w:t>
            </w:r>
          </w:p>
        </w:tc>
      </w:tr>
    </w:tbl>
    <w:p w14:paraId="06E25B81" w14:textId="77777777" w:rsidR="00D162BC" w:rsidRDefault="00D162BC" w:rsidP="008D24B9">
      <w:pPr>
        <w:jc w:val="both"/>
      </w:pPr>
    </w:p>
    <w:p w14:paraId="34DD15EB" w14:textId="7387116D" w:rsidR="00D162BC" w:rsidRDefault="00D162BC" w:rsidP="008D24B9">
      <w:pPr>
        <w:jc w:val="both"/>
      </w:pPr>
      <w:r>
        <w:t>Entre los días 24 y 28 de febrero de 2016 se reunieron</w:t>
      </w:r>
      <w:r w:rsidR="004E6234">
        <w:t xml:space="preserve"> en su primera oportunidad de este año, en la ciudad de San Francisco, Estados Unidos,</w:t>
      </w:r>
      <w:r>
        <w:t xml:space="preserve"> los miembros del ABAC (Consejo empresarial de APEC, por sus siglas en inglés) titulares y alternos y sus </w:t>
      </w:r>
      <w:proofErr w:type="spellStart"/>
      <w:r w:rsidRPr="004E6234">
        <w:rPr>
          <w:i/>
        </w:rPr>
        <w:t>staffers</w:t>
      </w:r>
      <w:proofErr w:type="spellEnd"/>
      <w:r>
        <w:t xml:space="preserve">, miembros de la academia </w:t>
      </w:r>
      <w:r w:rsidR="004E6234">
        <w:t>e invitados</w:t>
      </w:r>
      <w:r>
        <w:t xml:space="preserve"> del sector privado, y los Altos Oficiales de </w:t>
      </w:r>
      <w:proofErr w:type="gramStart"/>
      <w:r>
        <w:t>APEC</w:t>
      </w:r>
      <w:r w:rsidR="00EF1D27">
        <w:t>(</w:t>
      </w:r>
      <w:proofErr w:type="gramEnd"/>
      <w:r w:rsidR="00EF1D27">
        <w:t>SOM)</w:t>
      </w:r>
      <w:r>
        <w:t xml:space="preserve">. </w:t>
      </w:r>
      <w:r w:rsidR="00563B4B">
        <w:t xml:space="preserve">Por parte de Chile asistió el </w:t>
      </w:r>
      <w:proofErr w:type="spellStart"/>
      <w:r w:rsidR="00563B4B" w:rsidRPr="004E6234">
        <w:rPr>
          <w:i/>
        </w:rPr>
        <w:t>staffer</w:t>
      </w:r>
      <w:proofErr w:type="spellEnd"/>
      <w:r w:rsidR="00563B4B">
        <w:t xml:space="preserve"> de ABAC</w:t>
      </w:r>
      <w:r w:rsidR="004E6234">
        <w:t xml:space="preserve"> Chile,</w:t>
      </w:r>
      <w:r w:rsidR="00563B4B">
        <w:t xml:space="preserve"> Pedro Pablo Errázuriz.</w:t>
      </w:r>
    </w:p>
    <w:p w14:paraId="209E98BD" w14:textId="77777777" w:rsidR="00D162BC" w:rsidRDefault="00D162BC" w:rsidP="008D24B9">
      <w:pPr>
        <w:jc w:val="both"/>
      </w:pPr>
    </w:p>
    <w:p w14:paraId="7F563F42" w14:textId="77777777" w:rsidR="00D162BC" w:rsidRDefault="00D162BC" w:rsidP="008D24B9">
      <w:pPr>
        <w:jc w:val="both"/>
      </w:pPr>
      <w:r>
        <w:t>Se realizaron reuniones d</w:t>
      </w:r>
      <w:r w:rsidR="00563B4B">
        <w:t xml:space="preserve">e sus cinco grupos de trabajo (Desarrollo Sustentable, Integración Económica Regional, </w:t>
      </w:r>
      <w:proofErr w:type="spellStart"/>
      <w:r w:rsidR="00563B4B">
        <w:t>PYMEs</w:t>
      </w:r>
      <w:proofErr w:type="spellEnd"/>
      <w:r w:rsidR="00563B4B">
        <w:t xml:space="preserve"> y Emprendimiento, Conectividad, y Finanzas y Economía), dos reuniones plenarias, un diálogo ABAC-SOM, un foro </w:t>
      </w:r>
      <w:r w:rsidR="00860D15">
        <w:t xml:space="preserve">ejecutivo de APEC sobre Internet </w:t>
      </w:r>
      <w:proofErr w:type="spellStart"/>
      <w:r w:rsidR="00860D15">
        <w:t>Economy</w:t>
      </w:r>
      <w:proofErr w:type="spellEnd"/>
      <w:r w:rsidR="00860D15">
        <w:t xml:space="preserve">, una reunión con </w:t>
      </w:r>
      <w:proofErr w:type="spellStart"/>
      <w:r w:rsidR="00860D15" w:rsidRPr="00860D15">
        <w:rPr>
          <w:i/>
        </w:rPr>
        <w:t>stakeholders</w:t>
      </w:r>
      <w:proofErr w:type="spellEnd"/>
      <w:r w:rsidR="00860D15">
        <w:t xml:space="preserve"> sobre la Economía Digital, dos almuerzos de trabajo (uno sobre ABAC mujeres, y otro sobre el futuro del e-</w:t>
      </w:r>
      <w:proofErr w:type="spellStart"/>
      <w:r w:rsidR="00860D15">
        <w:t>commerce</w:t>
      </w:r>
      <w:proofErr w:type="spellEnd"/>
      <w:r w:rsidR="00860D15">
        <w:t xml:space="preserve">), y reuniones particulares del Caucus financiero de ABAC. </w:t>
      </w:r>
    </w:p>
    <w:p w14:paraId="2AC5B473" w14:textId="77777777" w:rsidR="0092418D" w:rsidRDefault="0092418D" w:rsidP="008D24B9">
      <w:pPr>
        <w:jc w:val="both"/>
      </w:pPr>
    </w:p>
    <w:p w14:paraId="7DA861C9" w14:textId="2169B8CA" w:rsidR="0092418D" w:rsidRDefault="0092418D" w:rsidP="008D24B9">
      <w:pPr>
        <w:jc w:val="both"/>
      </w:pPr>
      <w:r>
        <w:t xml:space="preserve">Este ABAC estuvo </w:t>
      </w:r>
      <w:r w:rsidR="004E6234">
        <w:t xml:space="preserve">marcado por la transversalidad </w:t>
      </w:r>
      <w:r w:rsidR="00D72325">
        <w:t>d</w:t>
      </w:r>
      <w:r w:rsidR="00C64167">
        <w:t>el</w:t>
      </w:r>
      <w:r>
        <w:t xml:space="preserve"> comercio digital y la economía de internet, en todas sus dimensiones. </w:t>
      </w:r>
      <w:r w:rsidR="004E6234">
        <w:t>Esto e</w:t>
      </w:r>
      <w:r>
        <w:t xml:space="preserve">n parte por la locación (San Francisco es la capital de las multinacionales tecnológicas), pero también por </w:t>
      </w:r>
      <w:r w:rsidR="0072287C">
        <w:t>ser la plataforma que protagonizará el comercio transfronterizo de aquí en adelante</w:t>
      </w:r>
      <w:r>
        <w:t xml:space="preserve">. </w:t>
      </w:r>
    </w:p>
    <w:p w14:paraId="3FBC5D32" w14:textId="77777777" w:rsidR="00C870B0" w:rsidRDefault="00C870B0" w:rsidP="008D24B9">
      <w:pPr>
        <w:jc w:val="both"/>
      </w:pPr>
    </w:p>
    <w:p w14:paraId="75E96B34" w14:textId="0888BB30" w:rsidR="007F0A6C" w:rsidRDefault="00C870B0" w:rsidP="008D24B9">
      <w:pPr>
        <w:jc w:val="both"/>
      </w:pPr>
      <w:r>
        <w:t>En el grupo de Integración Económica Regional se analizaron los avances en RCEP, TPP y la Alianza del Pacífico (este último</w:t>
      </w:r>
      <w:r w:rsidRPr="00C870B0">
        <w:rPr>
          <w:i/>
        </w:rPr>
        <w:t xml:space="preserve"> </w:t>
      </w:r>
      <w:proofErr w:type="spellStart"/>
      <w:r w:rsidRPr="00C870B0">
        <w:rPr>
          <w:i/>
        </w:rPr>
        <w:t>update</w:t>
      </w:r>
      <w:proofErr w:type="spellEnd"/>
      <w:r w:rsidR="004E6234">
        <w:t xml:space="preserve"> hecho por Chile).</w:t>
      </w:r>
      <w:r>
        <w:t xml:space="preserve"> </w:t>
      </w:r>
      <w:r w:rsidR="004E6234">
        <w:t>S</w:t>
      </w:r>
      <w:r>
        <w:t xml:space="preserve">e acordó mantener </w:t>
      </w:r>
      <w:r w:rsidR="004E6234">
        <w:t xml:space="preserve">y recomendar a los Líderes que el </w:t>
      </w:r>
      <w:r>
        <w:t>estudio</w:t>
      </w:r>
      <w:r w:rsidR="00D72325">
        <w:t xml:space="preserve"> del FTAAP (Área de Libre Comercio del Asia-Pacífico) </w:t>
      </w:r>
      <w:r w:rsidR="004E6234">
        <w:t xml:space="preserve">esté </w:t>
      </w:r>
      <w:r>
        <w:t xml:space="preserve">en permanente revisión </w:t>
      </w:r>
      <w:r w:rsidR="0072287C">
        <w:t xml:space="preserve">para </w:t>
      </w:r>
      <w:r>
        <w:t xml:space="preserve">que sea </w:t>
      </w:r>
      <w:r w:rsidR="004E6234">
        <w:t xml:space="preserve">un acuerdo de última generación </w:t>
      </w:r>
      <w:r w:rsidR="00D72325">
        <w:t xml:space="preserve">y que </w:t>
      </w:r>
      <w:r w:rsidR="004E6234">
        <w:t>reco</w:t>
      </w:r>
      <w:r w:rsidR="00D72325">
        <w:t>ja</w:t>
      </w:r>
      <w:r w:rsidR="004E6234">
        <w:t xml:space="preserve"> las temáticas de interés actuali</w:t>
      </w:r>
      <w:r w:rsidR="00D72325">
        <w:t>zadas</w:t>
      </w:r>
      <w:r w:rsidR="004E6234">
        <w:t xml:space="preserve">. </w:t>
      </w:r>
      <w:r>
        <w:t xml:space="preserve">En cuanto a la agenda de servicios, se acordó apoyar a APEC en el trabajo para este año realizando </w:t>
      </w:r>
      <w:proofErr w:type="spellStart"/>
      <w:r w:rsidRPr="00C870B0">
        <w:rPr>
          <w:i/>
        </w:rPr>
        <w:t>public-private</w:t>
      </w:r>
      <w:proofErr w:type="spellEnd"/>
      <w:r w:rsidRPr="00C870B0">
        <w:rPr>
          <w:i/>
        </w:rPr>
        <w:t xml:space="preserve"> dialogues</w:t>
      </w:r>
      <w:r w:rsidR="00D72325">
        <w:t>,</w:t>
      </w:r>
      <w:r>
        <w:t xml:space="preserve"> a través de la reunión con</w:t>
      </w:r>
      <w:r w:rsidR="00D72325">
        <w:t xml:space="preserve"> los</w:t>
      </w:r>
      <w:r>
        <w:t xml:space="preserve"> </w:t>
      </w:r>
      <w:proofErr w:type="spellStart"/>
      <w:r>
        <w:t>CEOs</w:t>
      </w:r>
      <w:proofErr w:type="spellEnd"/>
      <w:r>
        <w:t xml:space="preserve"> en el MRT</w:t>
      </w:r>
      <w:r w:rsidR="004E6234">
        <w:rPr>
          <w:rStyle w:val="Refdenotaalpie"/>
        </w:rPr>
        <w:footnoteReference w:id="1"/>
      </w:r>
      <w:r w:rsidR="00D72325">
        <w:t>.</w:t>
      </w:r>
      <w:r>
        <w:t xml:space="preserve"> </w:t>
      </w:r>
      <w:r w:rsidR="00D72325">
        <w:t>Se</w:t>
      </w:r>
      <w:r w:rsidR="007F0A6C">
        <w:t xml:space="preserve"> recomend</w:t>
      </w:r>
      <w:r w:rsidR="00D72325">
        <w:t>ó</w:t>
      </w:r>
      <w:r w:rsidR="007F0A6C">
        <w:t xml:space="preserve"> </w:t>
      </w:r>
      <w:r w:rsidR="00D72325">
        <w:lastRenderedPageBreak/>
        <w:t xml:space="preserve">también </w:t>
      </w:r>
      <w:r w:rsidR="007F0A6C">
        <w:t xml:space="preserve">ampliar la </w:t>
      </w:r>
      <w:r w:rsidR="007F0A6C" w:rsidRPr="007F0A6C">
        <w:rPr>
          <w:i/>
        </w:rPr>
        <w:t xml:space="preserve">STAR </w:t>
      </w:r>
      <w:proofErr w:type="spellStart"/>
      <w:r w:rsidR="007F0A6C" w:rsidRPr="007F0A6C">
        <w:rPr>
          <w:i/>
        </w:rPr>
        <w:t>Database</w:t>
      </w:r>
      <w:proofErr w:type="spellEnd"/>
      <w:r w:rsidR="004E6234">
        <w:rPr>
          <w:rStyle w:val="Refdenotaalpie"/>
          <w:i/>
        </w:rPr>
        <w:footnoteReference w:id="2"/>
      </w:r>
      <w:r w:rsidR="007F0A6C">
        <w:t xml:space="preserve">. </w:t>
      </w:r>
      <w:r w:rsidR="00D72325">
        <w:t>Los ABAC a</w:t>
      </w:r>
      <w:r w:rsidR="007F0A6C">
        <w:t>cordaron tomar el estudio realizado por el PSU</w:t>
      </w:r>
      <w:r w:rsidR="00D72325">
        <w:rPr>
          <w:rStyle w:val="Refdenotaalpie"/>
        </w:rPr>
        <w:footnoteReference w:id="3"/>
      </w:r>
      <w:r w:rsidR="007F0A6C">
        <w:t xml:space="preserve"> sobre</w:t>
      </w:r>
      <w:r w:rsidR="0072287C">
        <w:t xml:space="preserve"> servicios relacionados con manu</w:t>
      </w:r>
      <w:r w:rsidR="007F0A6C">
        <w:t>factura</w:t>
      </w:r>
      <w:r w:rsidR="00D72325">
        <w:t xml:space="preserve">, idealmente </w:t>
      </w:r>
      <w:r w:rsidR="007F0A6C">
        <w:t>amplia</w:t>
      </w:r>
      <w:r w:rsidR="00D72325">
        <w:t>ndo su cobertura</w:t>
      </w:r>
      <w:r w:rsidR="007F0A6C">
        <w:t xml:space="preserve">, </w:t>
      </w:r>
      <w:r w:rsidR="00EF1D27">
        <w:t xml:space="preserve">y </w:t>
      </w:r>
      <w:r w:rsidR="007F0A6C">
        <w:t>a la vez</w:t>
      </w:r>
      <w:r w:rsidR="00D72325">
        <w:t>,</w:t>
      </w:r>
      <w:r w:rsidR="007F0A6C">
        <w:t xml:space="preserve"> identificar nuevos "</w:t>
      </w:r>
      <w:r w:rsidR="007F0A6C" w:rsidRPr="007F0A6C">
        <w:rPr>
          <w:i/>
        </w:rPr>
        <w:t>gaps</w:t>
      </w:r>
      <w:r w:rsidR="007F0A6C">
        <w:t>" que se puedan dar con los nuevos tratados como el TPP. Se fortalecer</w:t>
      </w:r>
      <w:r w:rsidR="00D72325">
        <w:t>á</w:t>
      </w:r>
      <w:r w:rsidR="007F0A6C">
        <w:t xml:space="preserve"> la Coalición de Servicios del Asia Pacífico</w:t>
      </w:r>
      <w:r w:rsidR="00D72325">
        <w:t>,</w:t>
      </w:r>
      <w:r w:rsidR="007F0A6C">
        <w:t xml:space="preserve"> y se dio la bienvenida de Chile </w:t>
      </w:r>
      <w:r w:rsidR="00D72325">
        <w:t>luego de su ingreso</w:t>
      </w:r>
      <w:r w:rsidR="007F0A6C">
        <w:t xml:space="preserve"> el año pasado</w:t>
      </w:r>
      <w:r w:rsidR="00EF1D27">
        <w:t xml:space="preserve"> a través de SOFOFA</w:t>
      </w:r>
      <w:r w:rsidR="007F0A6C">
        <w:t xml:space="preserve">. Por otro lado se acordó estudiar los </w:t>
      </w:r>
      <w:r w:rsidR="007F0A6C" w:rsidRPr="007F0A6C">
        <w:rPr>
          <w:i/>
        </w:rPr>
        <w:t xml:space="preserve">global </w:t>
      </w:r>
      <w:proofErr w:type="spellStart"/>
      <w:r w:rsidR="007F0A6C" w:rsidRPr="007F0A6C">
        <w:rPr>
          <w:i/>
        </w:rPr>
        <w:t>standars</w:t>
      </w:r>
      <w:proofErr w:type="spellEnd"/>
      <w:r w:rsidR="007F0A6C">
        <w:t xml:space="preserve"> (o la falta de ellos), como una medida no arancelaria que afecta el comercio, a iniciativa de ABAC Nueza Zelanda. Por último se </w:t>
      </w:r>
      <w:r w:rsidR="00D72325">
        <w:t>presentaron los</w:t>
      </w:r>
      <w:r w:rsidR="007F0A6C">
        <w:t xml:space="preserve"> reportes sobre la </w:t>
      </w:r>
      <w:r w:rsidR="00EB2869">
        <w:t xml:space="preserve">última reunión Ministerial </w:t>
      </w:r>
      <w:r w:rsidR="00EF1D27">
        <w:t>de la OMC en</w:t>
      </w:r>
      <w:r w:rsidR="00EB2869">
        <w:t xml:space="preserve"> Nairobi, y </w:t>
      </w:r>
      <w:r w:rsidR="00EF1D27">
        <w:t>sobre los planes para la próxima</w:t>
      </w:r>
      <w:r w:rsidR="00EB2869">
        <w:t xml:space="preserve"> reunión de G20 en China. </w:t>
      </w:r>
    </w:p>
    <w:p w14:paraId="16C2A35A" w14:textId="77777777" w:rsidR="00EB2869" w:rsidRDefault="00EB2869" w:rsidP="008D24B9">
      <w:pPr>
        <w:jc w:val="both"/>
      </w:pPr>
    </w:p>
    <w:p w14:paraId="4401781B" w14:textId="65A25B0A" w:rsidR="00EB2869" w:rsidRDefault="00EB2869" w:rsidP="008D24B9">
      <w:pPr>
        <w:jc w:val="both"/>
      </w:pPr>
      <w:r>
        <w:t xml:space="preserve">En el grupo de </w:t>
      </w:r>
      <w:proofErr w:type="spellStart"/>
      <w:r>
        <w:t>PYMEs</w:t>
      </w:r>
      <w:proofErr w:type="spellEnd"/>
      <w:r>
        <w:t xml:space="preserve"> y emprendimiento se informó sobre un plan de China de promover </w:t>
      </w:r>
      <w:proofErr w:type="spellStart"/>
      <w:r w:rsidRPr="00EB2869">
        <w:rPr>
          <w:i/>
        </w:rPr>
        <w:t>capacity</w:t>
      </w:r>
      <w:proofErr w:type="spellEnd"/>
      <w:r w:rsidRPr="00EB2869">
        <w:rPr>
          <w:i/>
        </w:rPr>
        <w:t xml:space="preserve"> </w:t>
      </w:r>
      <w:proofErr w:type="spellStart"/>
      <w:r w:rsidRPr="00EB2869">
        <w:rPr>
          <w:i/>
        </w:rPr>
        <w:t>building</w:t>
      </w:r>
      <w:proofErr w:type="spellEnd"/>
      <w:r w:rsidRPr="00EB2869">
        <w:rPr>
          <w:i/>
        </w:rPr>
        <w:t xml:space="preserve"> </w:t>
      </w:r>
      <w:r w:rsidRPr="00EB2869">
        <w:t>en</w:t>
      </w:r>
      <w:r w:rsidRPr="00EB2869">
        <w:rPr>
          <w:i/>
        </w:rPr>
        <w:t xml:space="preserve"> e-</w:t>
      </w:r>
      <w:proofErr w:type="spellStart"/>
      <w:r w:rsidRPr="00EB2869">
        <w:rPr>
          <w:i/>
        </w:rPr>
        <w:t>commerce</w:t>
      </w:r>
      <w:proofErr w:type="spellEnd"/>
      <w:r>
        <w:t xml:space="preserve"> a </w:t>
      </w:r>
      <w:proofErr w:type="spellStart"/>
      <w:r>
        <w:t>PYMEs</w:t>
      </w:r>
      <w:proofErr w:type="spellEnd"/>
      <w:r>
        <w:t>, se aprobó un plan de trabajo para</w:t>
      </w:r>
      <w:r w:rsidR="00D72325">
        <w:t xml:space="preserve"> su</w:t>
      </w:r>
      <w:r>
        <w:t xml:space="preserve"> inclusión financiera, y se escuch</w:t>
      </w:r>
      <w:r w:rsidR="00D72325">
        <w:t>aron los</w:t>
      </w:r>
      <w:r>
        <w:t xml:space="preserve"> reportes de iniciativas ya existentes y actualmente en curso. </w:t>
      </w:r>
    </w:p>
    <w:p w14:paraId="0769776F" w14:textId="62499314" w:rsidR="00EB2869" w:rsidRDefault="00D72325" w:rsidP="008D24B9">
      <w:pPr>
        <w:jc w:val="both"/>
      </w:pPr>
      <w:r>
        <w:t>Cabe destacar</w:t>
      </w:r>
      <w:r w:rsidR="00EB2869">
        <w:t xml:space="preserve"> la presentación del estudio "</w:t>
      </w:r>
      <w:proofErr w:type="spellStart"/>
      <w:r w:rsidR="00EB2869" w:rsidRPr="00EF1D27">
        <w:rPr>
          <w:i/>
        </w:rPr>
        <w:t>Driving</w:t>
      </w:r>
      <w:proofErr w:type="spellEnd"/>
      <w:r w:rsidR="00EB2869" w:rsidRPr="00EF1D27">
        <w:rPr>
          <w:i/>
        </w:rPr>
        <w:t xml:space="preserve"> </w:t>
      </w:r>
      <w:proofErr w:type="spellStart"/>
      <w:r w:rsidR="00EB2869" w:rsidRPr="00EF1D27">
        <w:rPr>
          <w:i/>
        </w:rPr>
        <w:t>Economic</w:t>
      </w:r>
      <w:proofErr w:type="spellEnd"/>
      <w:r w:rsidR="00EB2869" w:rsidRPr="00EF1D27">
        <w:rPr>
          <w:i/>
        </w:rPr>
        <w:t xml:space="preserve"> </w:t>
      </w:r>
      <w:proofErr w:type="spellStart"/>
      <w:r w:rsidR="00EB2869" w:rsidRPr="00EF1D27">
        <w:rPr>
          <w:i/>
        </w:rPr>
        <w:t>Growth</w:t>
      </w:r>
      <w:proofErr w:type="spellEnd"/>
      <w:r w:rsidR="00EB2869" w:rsidRPr="00EF1D27">
        <w:rPr>
          <w:i/>
        </w:rPr>
        <w:t xml:space="preserve"> </w:t>
      </w:r>
      <w:proofErr w:type="spellStart"/>
      <w:r w:rsidR="00EB2869" w:rsidRPr="00EF1D27">
        <w:rPr>
          <w:i/>
        </w:rPr>
        <w:t>Through</w:t>
      </w:r>
      <w:proofErr w:type="spellEnd"/>
      <w:r w:rsidR="00EB2869" w:rsidRPr="00EF1D27">
        <w:rPr>
          <w:i/>
        </w:rPr>
        <w:t xml:space="preserve"> Cross-</w:t>
      </w:r>
      <w:proofErr w:type="spellStart"/>
      <w:r w:rsidR="00EB2869" w:rsidRPr="00EF1D27">
        <w:rPr>
          <w:i/>
        </w:rPr>
        <w:t>Border</w:t>
      </w:r>
      <w:proofErr w:type="spellEnd"/>
      <w:r w:rsidR="00EB2869" w:rsidRPr="00EF1D27">
        <w:rPr>
          <w:i/>
        </w:rPr>
        <w:t xml:space="preserve"> E-Commerce: </w:t>
      </w:r>
      <w:proofErr w:type="spellStart"/>
      <w:r w:rsidR="00EB2869" w:rsidRPr="00EF1D27">
        <w:rPr>
          <w:i/>
        </w:rPr>
        <w:t>Empowering</w:t>
      </w:r>
      <w:proofErr w:type="spellEnd"/>
      <w:r w:rsidR="00EB2869" w:rsidRPr="00EF1D27">
        <w:rPr>
          <w:i/>
        </w:rPr>
        <w:t xml:space="preserve"> </w:t>
      </w:r>
      <w:proofErr w:type="spellStart"/>
      <w:r w:rsidR="00EB2869" w:rsidRPr="00EF1D27">
        <w:rPr>
          <w:i/>
        </w:rPr>
        <w:t>MSMEs</w:t>
      </w:r>
      <w:proofErr w:type="spellEnd"/>
      <w:r w:rsidR="00EB2869" w:rsidRPr="00EF1D27">
        <w:rPr>
          <w:i/>
        </w:rPr>
        <w:t xml:space="preserve"> and </w:t>
      </w:r>
      <w:proofErr w:type="spellStart"/>
      <w:r w:rsidR="00EB2869" w:rsidRPr="00EF1D27">
        <w:rPr>
          <w:i/>
        </w:rPr>
        <w:t>Eliminating</w:t>
      </w:r>
      <w:proofErr w:type="spellEnd"/>
      <w:r w:rsidR="00EB2869" w:rsidRPr="00EF1D27">
        <w:rPr>
          <w:i/>
        </w:rPr>
        <w:t xml:space="preserve"> </w:t>
      </w:r>
      <w:proofErr w:type="spellStart"/>
      <w:r w:rsidR="00EB2869" w:rsidRPr="00EF1D27">
        <w:rPr>
          <w:i/>
        </w:rPr>
        <w:t>Barriers</w:t>
      </w:r>
      <w:proofErr w:type="spellEnd"/>
      <w:r w:rsidR="00EB2869">
        <w:t>"</w:t>
      </w:r>
      <w:r w:rsidR="00EF1D27">
        <w:rPr>
          <w:rStyle w:val="Refdenotaalpie"/>
        </w:rPr>
        <w:footnoteReference w:id="4"/>
      </w:r>
      <w:r>
        <w:t xml:space="preserve">, realizado por la </w:t>
      </w:r>
      <w:proofErr w:type="spellStart"/>
      <w:r>
        <w:t>Marshal</w:t>
      </w:r>
      <w:proofErr w:type="spellEnd"/>
      <w:r>
        <w:t xml:space="preserve"> </w:t>
      </w:r>
      <w:proofErr w:type="spellStart"/>
      <w:r>
        <w:t>S</w:t>
      </w:r>
      <w:r w:rsidR="00EB2869">
        <w:t>chool</w:t>
      </w:r>
      <w:proofErr w:type="spellEnd"/>
      <w:r w:rsidR="00EB2869">
        <w:t xml:space="preserve"> de la Universidad d</w:t>
      </w:r>
      <w:r>
        <w:t>el Sur de California por encargo de ABAC,</w:t>
      </w:r>
      <w:r w:rsidR="00EB2869">
        <w:t xml:space="preserve"> el cual, en base a más de 500 entrevistas en todas</w:t>
      </w:r>
      <w:r w:rsidR="00A214F6">
        <w:t xml:space="preserve"> las economías de APEC, hace un diagnóstico y entrega ideas claves para la internacionalización de las </w:t>
      </w:r>
      <w:proofErr w:type="spellStart"/>
      <w:r w:rsidR="00A214F6">
        <w:t>PYMEs</w:t>
      </w:r>
      <w:proofErr w:type="spellEnd"/>
      <w:r w:rsidR="00A214F6">
        <w:t xml:space="preserve"> a través del </w:t>
      </w:r>
      <w:r w:rsidR="00A214F6" w:rsidRPr="00EF1D27">
        <w:rPr>
          <w:i/>
        </w:rPr>
        <w:t>e-</w:t>
      </w:r>
      <w:proofErr w:type="spellStart"/>
      <w:r w:rsidR="00A214F6" w:rsidRPr="00EF1D27">
        <w:rPr>
          <w:i/>
        </w:rPr>
        <w:t>commerce</w:t>
      </w:r>
      <w:proofErr w:type="spellEnd"/>
      <w:r w:rsidR="00EF1D27">
        <w:t>. El estudio</w:t>
      </w:r>
      <w:r w:rsidR="00A214F6">
        <w:t xml:space="preserve"> </w:t>
      </w:r>
      <w:r w:rsidR="00EF1D27">
        <w:t>también aporta</w:t>
      </w:r>
      <w:r w:rsidR="00A214F6">
        <w:t xml:space="preserve"> cifras significativas, como</w:t>
      </w:r>
      <w:r w:rsidR="00EF1D27">
        <w:t xml:space="preserve"> por ejemplo</w:t>
      </w:r>
      <w:r w:rsidR="00A214F6">
        <w:t xml:space="preserve"> que en Chile una PYME conectada tiene 250% más posibilidades </w:t>
      </w:r>
      <w:r w:rsidR="00EF1D27">
        <w:t xml:space="preserve">de tener </w:t>
      </w:r>
      <w:r>
        <w:t>éxito.</w:t>
      </w:r>
    </w:p>
    <w:p w14:paraId="741785B5" w14:textId="77777777" w:rsidR="00A214F6" w:rsidRDefault="00A214F6" w:rsidP="008D24B9">
      <w:pPr>
        <w:jc w:val="both"/>
      </w:pPr>
    </w:p>
    <w:p w14:paraId="45716D49" w14:textId="4EB84795" w:rsidR="00A214F6" w:rsidRDefault="00A214F6" w:rsidP="008D24B9">
      <w:pPr>
        <w:jc w:val="both"/>
      </w:pPr>
      <w:r>
        <w:t>En el grupo de desarrollo sustentable s</w:t>
      </w:r>
      <w:r w:rsidR="0072287C">
        <w:t xml:space="preserve">e discutió sobre asuntos de </w:t>
      </w:r>
      <w:proofErr w:type="spellStart"/>
      <w:r w:rsidR="0072287C" w:rsidRPr="00EF1D27">
        <w:rPr>
          <w:i/>
        </w:rPr>
        <w:t>Food</w:t>
      </w:r>
      <w:proofErr w:type="spellEnd"/>
      <w:r w:rsidRPr="00EF1D27">
        <w:rPr>
          <w:i/>
        </w:rPr>
        <w:t xml:space="preserve"> Security</w:t>
      </w:r>
      <w:r>
        <w:t xml:space="preserve"> (donde ABAC trabaja con APEC en el APEC </w:t>
      </w:r>
      <w:proofErr w:type="spellStart"/>
      <w:r w:rsidRPr="00EF1D27">
        <w:rPr>
          <w:i/>
        </w:rPr>
        <w:t>Policy</w:t>
      </w:r>
      <w:proofErr w:type="spellEnd"/>
      <w:r w:rsidRPr="00EF1D27">
        <w:rPr>
          <w:i/>
        </w:rPr>
        <w:t xml:space="preserve"> </w:t>
      </w:r>
      <w:proofErr w:type="spellStart"/>
      <w:r w:rsidRPr="00EF1D27">
        <w:rPr>
          <w:i/>
        </w:rPr>
        <w:t>Partnership</w:t>
      </w:r>
      <w:proofErr w:type="spellEnd"/>
      <w:r w:rsidRPr="00EF1D27">
        <w:rPr>
          <w:i/>
        </w:rPr>
        <w:t xml:space="preserve"> </w:t>
      </w:r>
      <w:proofErr w:type="spellStart"/>
      <w:r w:rsidRPr="00EF1D27">
        <w:rPr>
          <w:i/>
        </w:rPr>
        <w:t>for</w:t>
      </w:r>
      <w:proofErr w:type="spellEnd"/>
      <w:r w:rsidRPr="00EF1D27">
        <w:rPr>
          <w:i/>
        </w:rPr>
        <w:t xml:space="preserve"> </w:t>
      </w:r>
      <w:proofErr w:type="spellStart"/>
      <w:r w:rsidRPr="00EF1D27">
        <w:rPr>
          <w:i/>
        </w:rPr>
        <w:t>Food</w:t>
      </w:r>
      <w:proofErr w:type="spellEnd"/>
      <w:r w:rsidRPr="00EF1D27">
        <w:rPr>
          <w:i/>
        </w:rPr>
        <w:t xml:space="preserve"> Security</w:t>
      </w:r>
      <w:r>
        <w:t xml:space="preserve">), </w:t>
      </w:r>
      <w:r w:rsidR="00D72325">
        <w:t>acordándose</w:t>
      </w:r>
      <w:r>
        <w:t xml:space="preserve"> estudiar las medidas no arancelarias que afectan este mercado</w:t>
      </w:r>
      <w:r w:rsidR="00D72325">
        <w:t xml:space="preserve"> y</w:t>
      </w:r>
      <w:r>
        <w:t xml:space="preserve"> el campo de las jubilaciones y la salud privada para hacer recomendaciones a los ministros del ramo. Se </w:t>
      </w:r>
      <w:r w:rsidR="00D72325">
        <w:t>buscará</w:t>
      </w:r>
      <w:r>
        <w:t xml:space="preserve"> </w:t>
      </w:r>
      <w:r w:rsidR="00D72325">
        <w:t>ingresar nuevamente a</w:t>
      </w:r>
      <w:r>
        <w:t xml:space="preserve">l APEC </w:t>
      </w:r>
      <w:proofErr w:type="spellStart"/>
      <w:r w:rsidRPr="00EF1D27">
        <w:rPr>
          <w:i/>
        </w:rPr>
        <w:t>Policy</w:t>
      </w:r>
      <w:proofErr w:type="spellEnd"/>
      <w:r w:rsidRPr="00EF1D27">
        <w:rPr>
          <w:i/>
        </w:rPr>
        <w:t xml:space="preserve"> </w:t>
      </w:r>
      <w:proofErr w:type="spellStart"/>
      <w:r w:rsidRPr="00EF1D27">
        <w:rPr>
          <w:i/>
        </w:rPr>
        <w:t>Partn</w:t>
      </w:r>
      <w:r w:rsidR="00A07712" w:rsidRPr="00EF1D27">
        <w:rPr>
          <w:i/>
        </w:rPr>
        <w:t>ership</w:t>
      </w:r>
      <w:proofErr w:type="spellEnd"/>
      <w:r w:rsidR="00A07712" w:rsidRPr="00EF1D27">
        <w:rPr>
          <w:i/>
        </w:rPr>
        <w:t xml:space="preserve"> </w:t>
      </w:r>
      <w:proofErr w:type="spellStart"/>
      <w:r w:rsidR="00A07712" w:rsidRPr="00EF1D27">
        <w:rPr>
          <w:i/>
        </w:rPr>
        <w:t>on</w:t>
      </w:r>
      <w:proofErr w:type="spellEnd"/>
      <w:r w:rsidR="00A07712" w:rsidRPr="00EF1D27">
        <w:rPr>
          <w:i/>
        </w:rPr>
        <w:t xml:space="preserve"> </w:t>
      </w:r>
      <w:proofErr w:type="spellStart"/>
      <w:r w:rsidR="00A07712" w:rsidRPr="00EF1D27">
        <w:rPr>
          <w:i/>
        </w:rPr>
        <w:t>Science</w:t>
      </w:r>
      <w:proofErr w:type="spellEnd"/>
      <w:r w:rsidR="00A07712" w:rsidRPr="00EF1D27">
        <w:rPr>
          <w:i/>
        </w:rPr>
        <w:t xml:space="preserve"> and </w:t>
      </w:r>
      <w:proofErr w:type="spellStart"/>
      <w:r w:rsidR="00A07712" w:rsidRPr="00EF1D27">
        <w:rPr>
          <w:i/>
        </w:rPr>
        <w:t>Technical</w:t>
      </w:r>
      <w:proofErr w:type="spellEnd"/>
      <w:r w:rsidRPr="00EF1D27">
        <w:rPr>
          <w:i/>
        </w:rPr>
        <w:t xml:space="preserve"> </w:t>
      </w:r>
      <w:proofErr w:type="spellStart"/>
      <w:r w:rsidRPr="00EF1D27">
        <w:rPr>
          <w:i/>
        </w:rPr>
        <w:t>Innovation</w:t>
      </w:r>
      <w:proofErr w:type="spellEnd"/>
      <w:r>
        <w:t xml:space="preserve">, del cual ABAC </w:t>
      </w:r>
      <w:r w:rsidR="00D72325">
        <w:t>fue parte</w:t>
      </w:r>
      <w:r>
        <w:t xml:space="preserve"> hasta el 2012</w:t>
      </w:r>
      <w:r w:rsidR="00D72325">
        <w:t>.</w:t>
      </w:r>
      <w:r>
        <w:t xml:space="preserve"> </w:t>
      </w:r>
      <w:r w:rsidR="00D72325">
        <w:t>S</w:t>
      </w:r>
      <w:r w:rsidR="00A07712">
        <w:t xml:space="preserve">e acordó </w:t>
      </w:r>
      <w:r w:rsidR="00D72325">
        <w:t xml:space="preserve">también </w:t>
      </w:r>
      <w:r w:rsidR="00A07712">
        <w:t xml:space="preserve">ser parte del  Asia </w:t>
      </w:r>
      <w:proofErr w:type="spellStart"/>
      <w:r w:rsidR="00A07712" w:rsidRPr="00EF1D27">
        <w:rPr>
          <w:i/>
        </w:rPr>
        <w:t>Pacific</w:t>
      </w:r>
      <w:proofErr w:type="spellEnd"/>
      <w:r w:rsidR="00A07712" w:rsidRPr="00EF1D27">
        <w:rPr>
          <w:i/>
        </w:rPr>
        <w:t xml:space="preserve"> </w:t>
      </w:r>
      <w:proofErr w:type="spellStart"/>
      <w:r w:rsidR="00A07712" w:rsidRPr="00EF1D27">
        <w:rPr>
          <w:i/>
        </w:rPr>
        <w:t>Urban</w:t>
      </w:r>
      <w:proofErr w:type="spellEnd"/>
      <w:r w:rsidR="00A07712" w:rsidRPr="00EF1D27">
        <w:rPr>
          <w:i/>
        </w:rPr>
        <w:t xml:space="preserve"> </w:t>
      </w:r>
      <w:proofErr w:type="spellStart"/>
      <w:r w:rsidR="00A07712" w:rsidRPr="00EF1D27">
        <w:rPr>
          <w:i/>
        </w:rPr>
        <w:t>Infrastructure</w:t>
      </w:r>
      <w:proofErr w:type="spellEnd"/>
      <w:r w:rsidR="00A07712" w:rsidRPr="00EF1D27">
        <w:rPr>
          <w:i/>
        </w:rPr>
        <w:t xml:space="preserve"> Network</w:t>
      </w:r>
      <w:r w:rsidR="00A07712">
        <w:t>, cuya primera reu</w:t>
      </w:r>
      <w:r w:rsidR="00EF1D27">
        <w:t xml:space="preserve">nión tendrá lugar al margen de la segunda reunión de Altos Oficiales de APEC </w:t>
      </w:r>
      <w:r w:rsidR="00A07712">
        <w:t>en Arequipa</w:t>
      </w:r>
      <w:r w:rsidR="00EF1D27">
        <w:t>, en mayo próximo</w:t>
      </w:r>
      <w:r w:rsidR="00A07712">
        <w:t xml:space="preserve">. </w:t>
      </w:r>
    </w:p>
    <w:p w14:paraId="075CCA41" w14:textId="57A2EE09" w:rsidR="00D72325" w:rsidRDefault="00A07712" w:rsidP="008D24B9">
      <w:pPr>
        <w:jc w:val="both"/>
      </w:pPr>
      <w:r>
        <w:t>Finalmente cabe resaltar que ABAC Perú seguirá trabajando en su iniciativa para reforzar el Estado de Derecho (</w:t>
      </w:r>
      <w:r w:rsidRPr="00EF1D27">
        <w:rPr>
          <w:i/>
        </w:rPr>
        <w:t xml:space="preserve">Rule of </w:t>
      </w:r>
      <w:proofErr w:type="spellStart"/>
      <w:r w:rsidRPr="00EF1D27">
        <w:rPr>
          <w:i/>
        </w:rPr>
        <w:t>Law</w:t>
      </w:r>
      <w:proofErr w:type="spellEnd"/>
      <w:r w:rsidR="00D72325">
        <w:t xml:space="preserve">), </w:t>
      </w:r>
      <w:r w:rsidR="00D72325" w:rsidRPr="008C3FF7">
        <w:t>la cual busca desde el año 2014 fortalecer el ambiente de negocios dentro de la región por medio de la solidez institucional</w:t>
      </w:r>
      <w:r w:rsidR="00D72325">
        <w:t xml:space="preserve">. </w:t>
      </w:r>
    </w:p>
    <w:p w14:paraId="10A19957" w14:textId="77777777" w:rsidR="00A07712" w:rsidRDefault="00A07712" w:rsidP="008D24B9">
      <w:pPr>
        <w:jc w:val="both"/>
      </w:pPr>
    </w:p>
    <w:p w14:paraId="2284523C" w14:textId="40C5529B" w:rsidR="00A07712" w:rsidRDefault="00A07712" w:rsidP="008D24B9">
      <w:pPr>
        <w:jc w:val="both"/>
      </w:pPr>
      <w:r>
        <w:t>En el grupo de conectividad</w:t>
      </w:r>
      <w:r w:rsidR="00D72325">
        <w:t>,</w:t>
      </w:r>
      <w:r w:rsidR="00EF1D27">
        <w:t xml:space="preserve"> se</w:t>
      </w:r>
      <w:r w:rsidR="00D72325">
        <w:t xml:space="preserve"> </w:t>
      </w:r>
      <w:r w:rsidR="00FF6D93">
        <w:t>trabajar</w:t>
      </w:r>
      <w:r w:rsidR="00D72325">
        <w:t>á</w:t>
      </w:r>
      <w:r w:rsidR="00FF6D93">
        <w:t xml:space="preserve"> durante el año en programas de conectividad digital. Además hubo presentaciones específicas sobre iniciativas de conectividad física, una de Canadá sobre conectividad aérea, una de Singapur sobre conectividad marítima, y un llamado de Japón a incentivar a sus economías a trabajar más estrechamente con el grupo de Transporte de APEC. </w:t>
      </w:r>
    </w:p>
    <w:p w14:paraId="4953810B" w14:textId="77777777" w:rsidR="00FF6D93" w:rsidRDefault="00FF6D93" w:rsidP="008D24B9">
      <w:pPr>
        <w:jc w:val="both"/>
      </w:pPr>
    </w:p>
    <w:p w14:paraId="238A5425" w14:textId="20CA5251" w:rsidR="00FF6D93" w:rsidRDefault="00FF6D93" w:rsidP="008D24B9">
      <w:pPr>
        <w:jc w:val="both"/>
      </w:pPr>
      <w:r>
        <w:t xml:space="preserve">En el grupo financiero se </w:t>
      </w:r>
      <w:r w:rsidR="00456650">
        <w:t>aprobó</w:t>
      </w:r>
      <w:r>
        <w:t xml:space="preserve"> las líneas de trabajo para el resto del año en </w:t>
      </w:r>
      <w:r w:rsidR="00456650">
        <w:t>materia</w:t>
      </w:r>
      <w:r>
        <w:t xml:space="preserve"> de inclusión financiera, mercado de capitales, programas de previsión social, financiamiento de infraestructura y de innovación. </w:t>
      </w:r>
    </w:p>
    <w:p w14:paraId="0CCADE6B" w14:textId="77777777" w:rsidR="00FF6D93" w:rsidRDefault="00FF6D93" w:rsidP="008D24B9">
      <w:pPr>
        <w:jc w:val="both"/>
      </w:pPr>
    </w:p>
    <w:p w14:paraId="5DC37394" w14:textId="7F521FCF" w:rsidR="00FF6D93" w:rsidRDefault="00456650" w:rsidP="008D24B9">
      <w:pPr>
        <w:jc w:val="both"/>
      </w:pPr>
      <w:r>
        <w:t>En</w:t>
      </w:r>
      <w:r w:rsidR="00FF6D93">
        <w:t xml:space="preserve"> el Diálogo ABAC-SOM</w:t>
      </w:r>
      <w:r w:rsidR="00EF1D27">
        <w:t>,</w:t>
      </w:r>
      <w:r w:rsidR="00FF6D93">
        <w:t xml:space="preserve"> estos últimos llamaron a ABAC a cumplir un rol muy activo en el trabajo de este año, tanto en FTAAP como en Servicios</w:t>
      </w:r>
      <w:r w:rsidR="008D24B9">
        <w:t xml:space="preserve">. En lo primero, ABAC llamó a los SOM a poner más énfasis en los Asuntos de Nueva Generación, a su vez que se comprometió a dar más </w:t>
      </w:r>
      <w:r w:rsidR="008D24B9" w:rsidRPr="00EF1D27">
        <w:rPr>
          <w:i/>
        </w:rPr>
        <w:t>inputs</w:t>
      </w:r>
      <w:r w:rsidR="008D24B9">
        <w:t xml:space="preserve"> como el estudio del año pasado. También se comprometió a apoyar el trabajo en la agenda de servicios, y de internacionalización de las </w:t>
      </w:r>
      <w:proofErr w:type="spellStart"/>
      <w:r w:rsidR="008D24B9">
        <w:t>PYMEs</w:t>
      </w:r>
      <w:proofErr w:type="spellEnd"/>
      <w:r w:rsidR="008D24B9">
        <w:t>. H</w:t>
      </w:r>
      <w:r w:rsidR="00FF6D93">
        <w:t xml:space="preserve">ubo reflexiones sobre el tema del </w:t>
      </w:r>
      <w:r w:rsidR="00FF6D93" w:rsidRPr="00FF6D93">
        <w:rPr>
          <w:i/>
        </w:rPr>
        <w:t xml:space="preserve">internet </w:t>
      </w:r>
      <w:proofErr w:type="spellStart"/>
      <w:r w:rsidR="00FF6D93" w:rsidRPr="00FF6D93">
        <w:rPr>
          <w:i/>
        </w:rPr>
        <w:t>economy</w:t>
      </w:r>
      <w:proofErr w:type="spellEnd"/>
      <w:r w:rsidR="00FF6D93">
        <w:t xml:space="preserve">. En la reunión con </w:t>
      </w:r>
      <w:proofErr w:type="spellStart"/>
      <w:r w:rsidR="00FF6D93" w:rsidRPr="00FF6D93">
        <w:rPr>
          <w:i/>
        </w:rPr>
        <w:t>stakeholders</w:t>
      </w:r>
      <w:proofErr w:type="spellEnd"/>
      <w:r w:rsidR="00FF6D93">
        <w:t xml:space="preserve">, presidida por la </w:t>
      </w:r>
      <w:proofErr w:type="spellStart"/>
      <w:r w:rsidR="00FF6D93" w:rsidRPr="00FF6D93">
        <w:rPr>
          <w:i/>
        </w:rPr>
        <w:t>Chair</w:t>
      </w:r>
      <w:proofErr w:type="spellEnd"/>
      <w:r w:rsidR="00FF6D93" w:rsidRPr="00FF6D93">
        <w:rPr>
          <w:i/>
        </w:rPr>
        <w:t xml:space="preserve"> </w:t>
      </w:r>
      <w:r w:rsidR="00FF6D93" w:rsidRPr="00FF6D93">
        <w:t>del Nuevo</w:t>
      </w:r>
      <w:r w:rsidR="00FF6D93" w:rsidRPr="00FF6D93">
        <w:rPr>
          <w:i/>
        </w:rPr>
        <w:t xml:space="preserve"> Ad </w:t>
      </w:r>
      <w:proofErr w:type="spellStart"/>
      <w:r w:rsidR="00FF6D93" w:rsidRPr="00FF6D93">
        <w:rPr>
          <w:i/>
        </w:rPr>
        <w:t>Hok</w:t>
      </w:r>
      <w:proofErr w:type="spellEnd"/>
      <w:r w:rsidR="00FF6D93" w:rsidRPr="00FF6D93">
        <w:rPr>
          <w:i/>
        </w:rPr>
        <w:t xml:space="preserve"> </w:t>
      </w:r>
      <w:proofErr w:type="spellStart"/>
      <w:r w:rsidR="00FF6D93" w:rsidRPr="00FF6D93">
        <w:rPr>
          <w:i/>
        </w:rPr>
        <w:t>Steering</w:t>
      </w:r>
      <w:proofErr w:type="spellEnd"/>
      <w:r w:rsidR="00FF6D93" w:rsidRPr="00FF6D93">
        <w:rPr>
          <w:i/>
        </w:rPr>
        <w:t xml:space="preserve"> </w:t>
      </w:r>
      <w:proofErr w:type="spellStart"/>
      <w:r w:rsidR="00FF6D93" w:rsidRPr="00FF6D93">
        <w:rPr>
          <w:i/>
        </w:rPr>
        <w:t>Group</w:t>
      </w:r>
      <w:proofErr w:type="spellEnd"/>
      <w:r w:rsidR="00FF6D93" w:rsidRPr="00FF6D93">
        <w:rPr>
          <w:i/>
        </w:rPr>
        <w:t xml:space="preserve"> </w:t>
      </w:r>
      <w:proofErr w:type="spellStart"/>
      <w:r w:rsidR="00FF6D93" w:rsidRPr="00FF6D93">
        <w:rPr>
          <w:i/>
        </w:rPr>
        <w:t>on</w:t>
      </w:r>
      <w:proofErr w:type="spellEnd"/>
      <w:r w:rsidR="00FF6D93" w:rsidRPr="00FF6D93">
        <w:rPr>
          <w:i/>
        </w:rPr>
        <w:t xml:space="preserve"> </w:t>
      </w:r>
      <w:proofErr w:type="spellStart"/>
      <w:r w:rsidR="00FF6D93" w:rsidRPr="00FF6D93">
        <w:rPr>
          <w:i/>
        </w:rPr>
        <w:t>The</w:t>
      </w:r>
      <w:proofErr w:type="spellEnd"/>
      <w:r w:rsidR="00FF6D93" w:rsidRPr="00FF6D93">
        <w:rPr>
          <w:i/>
        </w:rPr>
        <w:t xml:space="preserve"> Internet </w:t>
      </w:r>
      <w:proofErr w:type="spellStart"/>
      <w:r w:rsidR="00FF6D93" w:rsidRPr="00FF6D93">
        <w:rPr>
          <w:i/>
        </w:rPr>
        <w:t>Economy</w:t>
      </w:r>
      <w:proofErr w:type="spellEnd"/>
      <w:r w:rsidR="00FF6D93">
        <w:t xml:space="preserve">, los SOM pudieron escuchar </w:t>
      </w:r>
      <w:r>
        <w:t>las sugerencias de</w:t>
      </w:r>
      <w:r w:rsidR="00FF6D93">
        <w:t xml:space="preserve"> distintos ejecutivos de </w:t>
      </w:r>
      <w:r w:rsidR="000F28EB">
        <w:t xml:space="preserve">empresas tales como Google o PayPal </w:t>
      </w:r>
      <w:r>
        <w:t>de como</w:t>
      </w:r>
      <w:r w:rsidR="000F28EB">
        <w:t xml:space="preserve"> APEC puede ayudar a fomentar este campo del comercio. Por un lado notaron que </w:t>
      </w:r>
      <w:r>
        <w:t>varias</w:t>
      </w:r>
      <w:r w:rsidR="000F28EB">
        <w:t xml:space="preserve"> regulaciones muchas veces están atrasadas </w:t>
      </w:r>
      <w:r>
        <w:t>respecto de los avances</w:t>
      </w:r>
      <w:r w:rsidR="000F28EB">
        <w:t xml:space="preserve"> tecnol</w:t>
      </w:r>
      <w:r>
        <w:t>ógicos</w:t>
      </w:r>
      <w:r w:rsidR="000F28EB">
        <w:t xml:space="preserve">, y </w:t>
      </w:r>
      <w:r>
        <w:t>en la</w:t>
      </w:r>
      <w:r w:rsidR="000F28EB">
        <w:t xml:space="preserve"> falta </w:t>
      </w:r>
      <w:r w:rsidR="00EF1D27">
        <w:t>de</w:t>
      </w:r>
      <w:r w:rsidR="000F28EB">
        <w:t xml:space="preserve"> a</w:t>
      </w:r>
      <w:r>
        <w:t>rmonización entre las economías.</w:t>
      </w:r>
      <w:r w:rsidR="000F28EB">
        <w:t xml:space="preserve"> </w:t>
      </w:r>
      <w:r>
        <w:t>E</w:t>
      </w:r>
      <w:r w:rsidR="000F28EB">
        <w:t xml:space="preserve">n el estado actual </w:t>
      </w:r>
      <w:r w:rsidR="00EF1D27">
        <w:t>la duplicidad de regulaciones distintas puede terminar ahogando</w:t>
      </w:r>
      <w:r w:rsidR="000F28EB">
        <w:t xml:space="preserve"> al emprendimiento transfronterizo. </w:t>
      </w:r>
      <w:r w:rsidR="00EF1D27">
        <w:t>Hubo consenso también en</w:t>
      </w:r>
      <w:r w:rsidR="000F28EB">
        <w:t xml:space="preserve"> que para que se pueda fomentar el </w:t>
      </w:r>
      <w:r w:rsidR="000F28EB" w:rsidRPr="00C64167">
        <w:rPr>
          <w:i/>
        </w:rPr>
        <w:t>e-</w:t>
      </w:r>
      <w:proofErr w:type="spellStart"/>
      <w:r w:rsidR="000F28EB" w:rsidRPr="00C64167">
        <w:rPr>
          <w:i/>
        </w:rPr>
        <w:t>commerce</w:t>
      </w:r>
      <w:proofErr w:type="spellEnd"/>
      <w:r w:rsidR="000F28EB">
        <w:t xml:space="preserve"> a nivel transfronterizo</w:t>
      </w:r>
      <w:r w:rsidR="00EF1D27">
        <w:t>,</w:t>
      </w:r>
      <w:r w:rsidR="000F28EB">
        <w:t xml:space="preserve"> tiene que haber un marco regulatorio que lo haga amigable a nivel local. </w:t>
      </w:r>
    </w:p>
    <w:p w14:paraId="2E35E443" w14:textId="77777777" w:rsidR="000F28EB" w:rsidRDefault="000F28EB" w:rsidP="008D24B9">
      <w:pPr>
        <w:jc w:val="both"/>
      </w:pPr>
    </w:p>
    <w:p w14:paraId="64829C9A" w14:textId="0071D20D" w:rsidR="000F28EB" w:rsidRDefault="000F28EB" w:rsidP="008D24B9">
      <w:pPr>
        <w:jc w:val="both"/>
      </w:pPr>
      <w:r>
        <w:t>Vale también destacar el comunicado de prensa realizado por ABAC NZ y respaldado por todos los ABAC miembros de economías TPP llaman</w:t>
      </w:r>
      <w:r w:rsidR="00456650">
        <w:t>do a una pronta ratificación del acuerdo.</w:t>
      </w:r>
    </w:p>
    <w:p w14:paraId="01BEBDFB" w14:textId="77777777" w:rsidR="000F28EB" w:rsidRDefault="000F28EB" w:rsidP="008D24B9">
      <w:pPr>
        <w:jc w:val="both"/>
      </w:pPr>
    </w:p>
    <w:p w14:paraId="0D8AE73B" w14:textId="41CA8CD2" w:rsidR="000F28EB" w:rsidRDefault="00456650" w:rsidP="008D24B9">
      <w:pPr>
        <w:jc w:val="both"/>
      </w:pPr>
      <w:r>
        <w:t xml:space="preserve">Como </w:t>
      </w:r>
      <w:r w:rsidRPr="00456650">
        <w:rPr>
          <w:i/>
        </w:rPr>
        <w:t xml:space="preserve">Lead </w:t>
      </w:r>
      <w:proofErr w:type="spellStart"/>
      <w:r w:rsidRPr="00456650">
        <w:rPr>
          <w:i/>
        </w:rPr>
        <w:t>Staffer</w:t>
      </w:r>
      <w:proofErr w:type="spellEnd"/>
      <w:r w:rsidR="000F28EB">
        <w:t xml:space="preserve"> sostuve una reunión con el </w:t>
      </w:r>
      <w:proofErr w:type="spellStart"/>
      <w:r w:rsidR="000F28EB" w:rsidRPr="00C64167">
        <w:rPr>
          <w:i/>
        </w:rPr>
        <w:t>National</w:t>
      </w:r>
      <w:proofErr w:type="spellEnd"/>
      <w:r w:rsidR="000F28EB" w:rsidRPr="00C64167">
        <w:rPr>
          <w:i/>
        </w:rPr>
        <w:t xml:space="preserve"> Center </w:t>
      </w:r>
      <w:proofErr w:type="spellStart"/>
      <w:r w:rsidR="000F28EB" w:rsidRPr="00C64167">
        <w:rPr>
          <w:i/>
        </w:rPr>
        <w:t>for</w:t>
      </w:r>
      <w:proofErr w:type="spellEnd"/>
      <w:r w:rsidR="000F28EB">
        <w:t xml:space="preserve"> APEC, de EEUU, que maneja el capítulo de ABAC de éste país, </w:t>
      </w:r>
      <w:r w:rsidR="000F28EB" w:rsidRPr="008C3FF7">
        <w:t xml:space="preserve">en </w:t>
      </w:r>
      <w:r w:rsidR="008C3FF7">
        <w:t>la</w:t>
      </w:r>
      <w:r w:rsidR="000F28EB">
        <w:t xml:space="preserve"> que nos manifestaron su intención de colaborar con las preparaciones del CEO Summit de 2019. </w:t>
      </w:r>
    </w:p>
    <w:p w14:paraId="24D579E3" w14:textId="77777777" w:rsidR="000F28EB" w:rsidRDefault="000F28EB" w:rsidP="008D24B9">
      <w:pPr>
        <w:jc w:val="both"/>
      </w:pPr>
    </w:p>
    <w:p w14:paraId="2CB1AD77" w14:textId="641DA29A" w:rsidR="000F28EB" w:rsidRDefault="00456650" w:rsidP="008D24B9">
      <w:pPr>
        <w:jc w:val="both"/>
      </w:pPr>
      <w:r>
        <w:t>Finalmente, en</w:t>
      </w:r>
      <w:r w:rsidR="000F28EB">
        <w:t xml:space="preserve"> una de las presentaciones realizadas en el APEC </w:t>
      </w:r>
      <w:proofErr w:type="spellStart"/>
      <w:r w:rsidR="000F28EB" w:rsidRPr="00EF1D27">
        <w:rPr>
          <w:i/>
        </w:rPr>
        <w:t>Executive</w:t>
      </w:r>
      <w:proofErr w:type="spellEnd"/>
      <w:r w:rsidR="000F28EB" w:rsidRPr="00EF1D27">
        <w:rPr>
          <w:i/>
        </w:rPr>
        <w:t xml:space="preserve"> </w:t>
      </w:r>
      <w:proofErr w:type="spellStart"/>
      <w:r w:rsidR="000F28EB" w:rsidRPr="00EF1D27">
        <w:rPr>
          <w:i/>
        </w:rPr>
        <w:t>Forum</w:t>
      </w:r>
      <w:proofErr w:type="spellEnd"/>
      <w:r w:rsidR="000F28EB">
        <w:t xml:space="preserve"> que giró en torno a la economía digital</w:t>
      </w:r>
      <w:r>
        <w:t xml:space="preserve">, </w:t>
      </w:r>
      <w:r w:rsidR="000F28EB">
        <w:t xml:space="preserve">un profesor de Stanford, </w:t>
      </w:r>
      <w:proofErr w:type="spellStart"/>
      <w:r w:rsidR="000F28EB">
        <w:t>Vivek</w:t>
      </w:r>
      <w:proofErr w:type="spellEnd"/>
      <w:r w:rsidR="000F28EB">
        <w:t xml:space="preserve"> </w:t>
      </w:r>
      <w:proofErr w:type="spellStart"/>
      <w:r w:rsidR="000F28EB">
        <w:t>Wadha</w:t>
      </w:r>
      <w:proofErr w:type="spellEnd"/>
      <w:r>
        <w:t>,</w:t>
      </w:r>
      <w:r w:rsidR="000F28EB">
        <w:t xml:space="preserve"> dio el ejemplo de </w:t>
      </w:r>
      <w:proofErr w:type="spellStart"/>
      <w:r w:rsidR="000F28EB">
        <w:t>Start</w:t>
      </w:r>
      <w:proofErr w:type="spellEnd"/>
      <w:r w:rsidR="000F28EB">
        <w:t xml:space="preserve">-up Chile como una buena política pública para fomentar la innovación. Esto está en correlación con las metas tanto de lograr mayor financiamiento para </w:t>
      </w:r>
      <w:proofErr w:type="spellStart"/>
      <w:r w:rsidR="000F28EB">
        <w:t>PYMEs</w:t>
      </w:r>
      <w:proofErr w:type="spellEnd"/>
      <w:r w:rsidR="000F28EB">
        <w:t xml:space="preserve"> como con las de fomentar la </w:t>
      </w:r>
      <w:r w:rsidR="00C64167">
        <w:t>movilidad</w:t>
      </w:r>
      <w:r w:rsidR="000F28EB">
        <w:t xml:space="preserve"> de personas. Este foro giró en torno al concepto de "tecnología disruptiva", en el sentido d</w:t>
      </w:r>
      <w:r>
        <w:t xml:space="preserve">e que son nuevas realidades difíciles </w:t>
      </w:r>
      <w:r w:rsidR="000F28EB">
        <w:t xml:space="preserve">de </w:t>
      </w:r>
      <w:r w:rsidR="00C64167">
        <w:t>prever</w:t>
      </w:r>
      <w:r w:rsidR="000F28EB">
        <w:t xml:space="preserve"> para la regulación, lo cual </w:t>
      </w:r>
      <w:r>
        <w:t xml:space="preserve">puede ser </w:t>
      </w:r>
      <w:r w:rsidR="000F28EB">
        <w:t>visto como un riesgo</w:t>
      </w:r>
      <w:r>
        <w:t>;</w:t>
      </w:r>
      <w:r w:rsidR="008D24B9">
        <w:t xml:space="preserve"> </w:t>
      </w:r>
      <w:r>
        <w:t>sin embargo,</w:t>
      </w:r>
      <w:r w:rsidR="008D24B9">
        <w:t xml:space="preserve"> con el correcto enfoque se pueden tomar como oportunidades para solucionar problemas sociales y económicos actuales. </w:t>
      </w:r>
    </w:p>
    <w:p w14:paraId="0964B734" w14:textId="77777777" w:rsidR="0072287C" w:rsidRDefault="0072287C" w:rsidP="008D24B9">
      <w:pPr>
        <w:jc w:val="both"/>
      </w:pPr>
    </w:p>
    <w:p w14:paraId="77D4FB89" w14:textId="7EC78607" w:rsidR="0072287C" w:rsidRDefault="0072287C" w:rsidP="008D24B9">
      <w:pPr>
        <w:jc w:val="both"/>
      </w:pPr>
      <w:r>
        <w:t>Pedro Pablo Errázuriz L.</w:t>
      </w:r>
    </w:p>
    <w:p w14:paraId="6049802F" w14:textId="476DBD84" w:rsidR="0072287C" w:rsidRDefault="0072287C" w:rsidP="008D24B9">
      <w:pPr>
        <w:jc w:val="both"/>
      </w:pPr>
      <w:r>
        <w:t xml:space="preserve">Febrero 2016. </w:t>
      </w:r>
    </w:p>
    <w:sectPr w:rsidR="0072287C" w:rsidSect="00F55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300D" w14:textId="77777777" w:rsidR="00CA588E" w:rsidRDefault="00CA588E" w:rsidP="004E6234">
      <w:r>
        <w:separator/>
      </w:r>
    </w:p>
  </w:endnote>
  <w:endnote w:type="continuationSeparator" w:id="0">
    <w:p w14:paraId="2E838910" w14:textId="77777777" w:rsidR="00CA588E" w:rsidRDefault="00CA588E" w:rsidP="004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74182" w14:textId="77777777" w:rsidR="00CA588E" w:rsidRDefault="00CA588E" w:rsidP="004E6234">
      <w:r>
        <w:separator/>
      </w:r>
    </w:p>
  </w:footnote>
  <w:footnote w:type="continuationSeparator" w:id="0">
    <w:p w14:paraId="248863BA" w14:textId="77777777" w:rsidR="00CA588E" w:rsidRDefault="00CA588E" w:rsidP="004E6234">
      <w:r>
        <w:continuationSeparator/>
      </w:r>
    </w:p>
  </w:footnote>
  <w:footnote w:id="1">
    <w:p w14:paraId="60550CBC" w14:textId="4666E6BD" w:rsidR="004E6234" w:rsidRPr="004E6234" w:rsidRDefault="004E623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MRT: </w:t>
      </w:r>
      <w:proofErr w:type="spellStart"/>
      <w:r w:rsidRPr="004E6234">
        <w:rPr>
          <w:i/>
          <w:lang w:val="es-CL"/>
        </w:rPr>
        <w:t>Ministers</w:t>
      </w:r>
      <w:proofErr w:type="spellEnd"/>
      <w:r w:rsidRPr="004E6234">
        <w:rPr>
          <w:i/>
          <w:lang w:val="es-CL"/>
        </w:rPr>
        <w:t xml:space="preserve"> </w:t>
      </w:r>
      <w:proofErr w:type="spellStart"/>
      <w:r w:rsidRPr="004E6234">
        <w:rPr>
          <w:i/>
          <w:lang w:val="es-CL"/>
        </w:rPr>
        <w:t>Responsible</w:t>
      </w:r>
      <w:proofErr w:type="spellEnd"/>
      <w:r w:rsidRPr="004E6234">
        <w:rPr>
          <w:i/>
          <w:lang w:val="es-CL"/>
        </w:rPr>
        <w:t xml:space="preserve"> </w:t>
      </w:r>
      <w:proofErr w:type="spellStart"/>
      <w:r w:rsidRPr="004E6234">
        <w:rPr>
          <w:i/>
          <w:lang w:val="es-CL"/>
        </w:rPr>
        <w:t>for</w:t>
      </w:r>
      <w:proofErr w:type="spellEnd"/>
      <w:r w:rsidRPr="004E6234">
        <w:rPr>
          <w:i/>
          <w:lang w:val="es-CL"/>
        </w:rPr>
        <w:t xml:space="preserve"> </w:t>
      </w:r>
      <w:proofErr w:type="spellStart"/>
      <w:r w:rsidRPr="004E6234">
        <w:rPr>
          <w:i/>
          <w:lang w:val="es-CL"/>
        </w:rPr>
        <w:t>Trade</w:t>
      </w:r>
      <w:proofErr w:type="spellEnd"/>
      <w:r>
        <w:rPr>
          <w:lang w:val="es-CL"/>
        </w:rPr>
        <w:t xml:space="preserve">, nombre de la reunión que reúne a las autoridades </w:t>
      </w:r>
      <w:proofErr w:type="spellStart"/>
      <w:r>
        <w:rPr>
          <w:lang w:val="es-CL"/>
        </w:rPr>
        <w:t>reponsables</w:t>
      </w:r>
      <w:proofErr w:type="spellEnd"/>
      <w:r>
        <w:rPr>
          <w:lang w:val="es-CL"/>
        </w:rPr>
        <w:t xml:space="preserve"> del comercio exterior de cada economía una vez terminada la segunda reunión de Altos Oficiales de APEC. Este año tendrá lugar en Arequipa, los días 17 y 18 de mayo. </w:t>
      </w:r>
    </w:p>
  </w:footnote>
  <w:footnote w:id="2">
    <w:p w14:paraId="6D5DFBDE" w14:textId="112FF2D0" w:rsidR="004E6234" w:rsidRPr="004E6234" w:rsidRDefault="004E623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4E6234">
        <w:rPr>
          <w:i/>
          <w:lang w:val="es-CL"/>
        </w:rPr>
        <w:t>Star</w:t>
      </w:r>
      <w:proofErr w:type="spellEnd"/>
      <w:r w:rsidRPr="004E6234">
        <w:rPr>
          <w:i/>
          <w:lang w:val="es-CL"/>
        </w:rPr>
        <w:t xml:space="preserve"> </w:t>
      </w:r>
      <w:proofErr w:type="spellStart"/>
      <w:r w:rsidRPr="004E6234">
        <w:rPr>
          <w:i/>
          <w:lang w:val="es-CL"/>
        </w:rPr>
        <w:t>Database</w:t>
      </w:r>
      <w:proofErr w:type="spellEnd"/>
      <w:r>
        <w:rPr>
          <w:lang w:val="es-CL"/>
        </w:rPr>
        <w:t xml:space="preserve"> (</w:t>
      </w:r>
      <w:r w:rsidRPr="004E6234">
        <w:rPr>
          <w:i/>
          <w:lang w:val="es-CL"/>
        </w:rPr>
        <w:t xml:space="preserve">APEC </w:t>
      </w:r>
      <w:proofErr w:type="spellStart"/>
      <w:r w:rsidRPr="004E6234">
        <w:rPr>
          <w:i/>
          <w:lang w:val="es-CL"/>
        </w:rPr>
        <w:t>Services</w:t>
      </w:r>
      <w:proofErr w:type="spellEnd"/>
      <w:r w:rsidRPr="004E6234">
        <w:rPr>
          <w:i/>
          <w:lang w:val="es-CL"/>
        </w:rPr>
        <w:t xml:space="preserve"> </w:t>
      </w:r>
      <w:proofErr w:type="spellStart"/>
      <w:r w:rsidRPr="004E6234">
        <w:rPr>
          <w:i/>
          <w:lang w:val="es-CL"/>
        </w:rPr>
        <w:t>Trade</w:t>
      </w:r>
      <w:proofErr w:type="spellEnd"/>
      <w:r w:rsidRPr="004E6234">
        <w:rPr>
          <w:i/>
          <w:lang w:val="es-CL"/>
        </w:rPr>
        <w:t xml:space="preserve"> </w:t>
      </w:r>
      <w:proofErr w:type="spellStart"/>
      <w:r w:rsidRPr="004E6234">
        <w:rPr>
          <w:i/>
          <w:lang w:val="es-CL"/>
        </w:rPr>
        <w:t>Acces</w:t>
      </w:r>
      <w:proofErr w:type="spellEnd"/>
      <w:r w:rsidRPr="004E6234">
        <w:rPr>
          <w:i/>
          <w:lang w:val="es-CL"/>
        </w:rPr>
        <w:t xml:space="preserve"> </w:t>
      </w:r>
      <w:proofErr w:type="spellStart"/>
      <w:r w:rsidRPr="004E6234">
        <w:rPr>
          <w:i/>
          <w:lang w:val="es-CL"/>
        </w:rPr>
        <w:t>Requirements</w:t>
      </w:r>
      <w:proofErr w:type="spellEnd"/>
      <w:r w:rsidRPr="004E6234">
        <w:rPr>
          <w:i/>
          <w:lang w:val="es-CL"/>
        </w:rPr>
        <w:t xml:space="preserve"> </w:t>
      </w:r>
      <w:proofErr w:type="spellStart"/>
      <w:r w:rsidRPr="004E6234">
        <w:rPr>
          <w:i/>
          <w:lang w:val="es-CL"/>
        </w:rPr>
        <w:t>Database</w:t>
      </w:r>
      <w:proofErr w:type="spellEnd"/>
      <w:r>
        <w:rPr>
          <w:lang w:val="es-CL"/>
        </w:rPr>
        <w:t>) es un portal web en el que se publican para el uso del público general las regulaciones en materia de servicios de las 21 economías de APEC. Más información en www.servicestradeforum.org</w:t>
      </w:r>
    </w:p>
  </w:footnote>
  <w:footnote w:id="3">
    <w:p w14:paraId="42A79F58" w14:textId="586A7319" w:rsidR="00D72325" w:rsidRPr="00D72325" w:rsidRDefault="00D72325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D72325">
        <w:rPr>
          <w:i/>
          <w:lang w:val="es-CL"/>
        </w:rPr>
        <w:t>Policy</w:t>
      </w:r>
      <w:proofErr w:type="spellEnd"/>
      <w:r w:rsidRPr="00D72325">
        <w:rPr>
          <w:i/>
          <w:lang w:val="es-CL"/>
        </w:rPr>
        <w:t xml:space="preserve"> </w:t>
      </w:r>
      <w:proofErr w:type="spellStart"/>
      <w:r w:rsidRPr="00D72325">
        <w:rPr>
          <w:i/>
          <w:lang w:val="es-CL"/>
        </w:rPr>
        <w:t>Support</w:t>
      </w:r>
      <w:proofErr w:type="spellEnd"/>
      <w:r w:rsidRPr="00D72325">
        <w:rPr>
          <w:i/>
          <w:lang w:val="es-CL"/>
        </w:rPr>
        <w:t xml:space="preserve"> </w:t>
      </w:r>
      <w:proofErr w:type="spellStart"/>
      <w:r w:rsidRPr="00D72325">
        <w:rPr>
          <w:i/>
          <w:lang w:val="es-CL"/>
        </w:rPr>
        <w:t>Unit</w:t>
      </w:r>
      <w:proofErr w:type="spellEnd"/>
      <w:r>
        <w:rPr>
          <w:lang w:val="es-CL"/>
        </w:rPr>
        <w:t xml:space="preserve">, es la unidad de estudios de APEC. </w:t>
      </w:r>
    </w:p>
  </w:footnote>
  <w:footnote w:id="4">
    <w:p w14:paraId="2AF3D090" w14:textId="12DDFDF6" w:rsidR="00EF1D27" w:rsidRPr="00EF1D27" w:rsidRDefault="00EF1D2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El estudio completo se puede consultar en este link: </w:t>
      </w:r>
      <w:r w:rsidRPr="00EF1D27">
        <w:rPr>
          <w:lang w:val="es-CL"/>
        </w:rPr>
        <w:t>http://classic.marshall.usc.edu/assets/168/26870.pdf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BC"/>
    <w:rsid w:val="00066392"/>
    <w:rsid w:val="000F28EB"/>
    <w:rsid w:val="00456650"/>
    <w:rsid w:val="004E6234"/>
    <w:rsid w:val="00563B4B"/>
    <w:rsid w:val="0072287C"/>
    <w:rsid w:val="007F0A6C"/>
    <w:rsid w:val="00860D15"/>
    <w:rsid w:val="008C3FF7"/>
    <w:rsid w:val="008D24B9"/>
    <w:rsid w:val="0092418D"/>
    <w:rsid w:val="00A07712"/>
    <w:rsid w:val="00A214F6"/>
    <w:rsid w:val="00C64167"/>
    <w:rsid w:val="00C870B0"/>
    <w:rsid w:val="00CA588E"/>
    <w:rsid w:val="00D162BC"/>
    <w:rsid w:val="00D72325"/>
    <w:rsid w:val="00EB2869"/>
    <w:rsid w:val="00EF1D27"/>
    <w:rsid w:val="00F55E56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BF2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E623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6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6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E623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6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6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1D9A-DF2D-4F3C-97AA-F6306566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6699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Pablo Errázuriz Lobo</dc:creator>
  <cp:lastModifiedBy>KRASNA BOBENRIETH</cp:lastModifiedBy>
  <cp:revision>2</cp:revision>
  <cp:lastPrinted>2016-03-15T13:53:00Z</cp:lastPrinted>
  <dcterms:created xsi:type="dcterms:W3CDTF">2016-03-15T14:20:00Z</dcterms:created>
  <dcterms:modified xsi:type="dcterms:W3CDTF">2016-03-15T14:20:00Z</dcterms:modified>
</cp:coreProperties>
</file>