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1D0E" w14:textId="1E3B2E6F" w:rsidR="00310E0A" w:rsidRDefault="00310E0A" w:rsidP="00310E0A">
      <w:pPr>
        <w:jc w:val="center"/>
        <w:rPr>
          <w:b/>
        </w:rPr>
      </w:pPr>
      <w:r>
        <w:rPr>
          <w:b/>
        </w:rPr>
        <w:t>Informe ABAC2</w:t>
      </w:r>
      <w:r w:rsidRPr="008D24B9">
        <w:rPr>
          <w:b/>
        </w:rPr>
        <w:t xml:space="preserve"> 24-2</w:t>
      </w:r>
      <w:r>
        <w:rPr>
          <w:b/>
        </w:rPr>
        <w:t>7</w:t>
      </w:r>
      <w:r w:rsidRPr="008D24B9">
        <w:rPr>
          <w:b/>
        </w:rPr>
        <w:t xml:space="preserve"> de </w:t>
      </w:r>
      <w:r>
        <w:rPr>
          <w:b/>
        </w:rPr>
        <w:t>abril</w:t>
      </w:r>
      <w:r w:rsidRPr="008D24B9">
        <w:rPr>
          <w:b/>
        </w:rPr>
        <w:t xml:space="preserve"> de 2016</w:t>
      </w:r>
    </w:p>
    <w:p w14:paraId="625E8DD5" w14:textId="4E7594F2" w:rsidR="00310E0A" w:rsidRPr="008D24B9" w:rsidRDefault="00310E0A" w:rsidP="00310E0A">
      <w:pPr>
        <w:jc w:val="center"/>
        <w:rPr>
          <w:b/>
        </w:rPr>
      </w:pPr>
      <w:r>
        <w:rPr>
          <w:b/>
        </w:rPr>
        <w:t xml:space="preserve">Por Moresby, </w:t>
      </w:r>
      <w:proofErr w:type="spellStart"/>
      <w:r>
        <w:rPr>
          <w:b/>
        </w:rPr>
        <w:t>Papua</w:t>
      </w:r>
      <w:proofErr w:type="spellEnd"/>
      <w:r>
        <w:rPr>
          <w:b/>
        </w:rPr>
        <w:t xml:space="preserve"> Nueva Guinea</w:t>
      </w:r>
    </w:p>
    <w:p w14:paraId="607405DC" w14:textId="77777777" w:rsidR="00310E0A" w:rsidRDefault="00310E0A" w:rsidP="00310E0A">
      <w:pPr>
        <w:jc w:val="both"/>
      </w:pPr>
    </w:p>
    <w:p w14:paraId="5E11AED3" w14:textId="77777777" w:rsidR="00310E0A" w:rsidRDefault="00310E0A" w:rsidP="00310E0A">
      <w:pPr>
        <w:jc w:val="both"/>
      </w:pPr>
    </w:p>
    <w:tbl>
      <w:tblPr>
        <w:tblStyle w:val="Tablaconcuadrcula"/>
        <w:tblW w:w="0" w:type="auto"/>
        <w:tblLook w:val="04A0" w:firstRow="1" w:lastRow="0" w:firstColumn="1" w:lastColumn="0" w:noHBand="0" w:noVBand="1"/>
      </w:tblPr>
      <w:tblGrid>
        <w:gridCol w:w="8978"/>
      </w:tblGrid>
      <w:tr w:rsidR="00310E0A" w14:paraId="5165320E" w14:textId="77777777" w:rsidTr="00310E0A">
        <w:tc>
          <w:tcPr>
            <w:tcW w:w="8978" w:type="dxa"/>
          </w:tcPr>
          <w:p w14:paraId="676CAFB0" w14:textId="77777777" w:rsidR="00310E0A" w:rsidRDefault="00310E0A" w:rsidP="00310E0A">
            <w:pPr>
              <w:jc w:val="center"/>
              <w:rPr>
                <w:b/>
              </w:rPr>
            </w:pPr>
            <w:r>
              <w:rPr>
                <w:b/>
              </w:rPr>
              <w:t>Resumen ejecutivo</w:t>
            </w:r>
          </w:p>
          <w:p w14:paraId="0FDFE2F5" w14:textId="6835053C" w:rsidR="00310E0A" w:rsidRPr="002156AC" w:rsidRDefault="00310E0A" w:rsidP="002156AC">
            <w:pPr>
              <w:jc w:val="both"/>
            </w:pPr>
            <w:r w:rsidRPr="002156AC">
              <w:t>En la segunda reunión de ABAC 2016, la participación fue menor a lo esperado debido a las dificultades logísticas presentadas por Port Moresby. De todas formas se destacó la excelente organización por parte del capítulo local de ABAC. En cuanto al trabajo sustantivo, se trabajó en la carta del ABAC a los Ministros de Comercio</w:t>
            </w:r>
            <w:r w:rsidR="002156AC">
              <w:rPr>
                <w:rStyle w:val="Refdenotaalpie"/>
              </w:rPr>
              <w:footnoteReference w:id="1"/>
            </w:r>
            <w:r w:rsidRPr="002156AC">
              <w:t xml:space="preserve">, y específicamente las recomendaciones que se hará en cuanto al FTAAP, así como también el aporte de ABAC a la agenda de Servicios. </w:t>
            </w:r>
            <w:r w:rsidR="002156AC" w:rsidRPr="002156AC">
              <w:t xml:space="preserve">Se destacó también el ánimo colaborativo del foro sobre encontrar más formas de estrechar el trabajo en ambas instancias. </w:t>
            </w:r>
          </w:p>
          <w:p w14:paraId="4F9CE760" w14:textId="38731015" w:rsidR="00310E0A" w:rsidRDefault="00310E0A" w:rsidP="00310E0A">
            <w:pPr>
              <w:jc w:val="both"/>
            </w:pPr>
          </w:p>
        </w:tc>
      </w:tr>
    </w:tbl>
    <w:p w14:paraId="2DEF5380" w14:textId="77777777" w:rsidR="00310E0A" w:rsidRDefault="00310E0A" w:rsidP="00310E0A">
      <w:pPr>
        <w:jc w:val="both"/>
      </w:pPr>
    </w:p>
    <w:p w14:paraId="7CF9D280" w14:textId="6115C6D5" w:rsidR="00310E0A" w:rsidRDefault="00310E0A" w:rsidP="002156AC">
      <w:pPr>
        <w:jc w:val="both"/>
      </w:pPr>
      <w:r>
        <w:t xml:space="preserve">Entre los días 24 y 27 de abril de 2016 se reunieron en su segunda oportunidad de este año, en la ciudad de Port Moresby, </w:t>
      </w:r>
      <w:proofErr w:type="spellStart"/>
      <w:r>
        <w:t>Papua</w:t>
      </w:r>
      <w:proofErr w:type="spellEnd"/>
      <w:r>
        <w:t xml:space="preserve"> Nueva Guinea, los miembros del ABAC (Consejo empresarial de APEC, por sus siglas en inglés) titulares y alternos y sus </w:t>
      </w:r>
      <w:proofErr w:type="spellStart"/>
      <w:r w:rsidRPr="004E6234">
        <w:rPr>
          <w:i/>
        </w:rPr>
        <w:t>staffers</w:t>
      </w:r>
      <w:proofErr w:type="spellEnd"/>
      <w:r>
        <w:t xml:space="preserve">, miembros de la academia </w:t>
      </w:r>
      <w:r w:rsidR="002156AC">
        <w:t xml:space="preserve">e invitados del sector privado. </w:t>
      </w:r>
      <w:r>
        <w:t xml:space="preserve">Por parte de Chile asistieron el ABAC Alterno, Sr. Francisco Garcés, la Directora Ejecutiva de la Fundación Chilena del Pacífico, Sra. Loreto Leyton, y el </w:t>
      </w:r>
      <w:r w:rsidRPr="00310E0A">
        <w:rPr>
          <w:i/>
        </w:rPr>
        <w:t xml:space="preserve">Lead </w:t>
      </w:r>
      <w:proofErr w:type="spellStart"/>
      <w:r w:rsidRPr="004E6234">
        <w:rPr>
          <w:i/>
        </w:rPr>
        <w:t>staffer</w:t>
      </w:r>
      <w:proofErr w:type="spellEnd"/>
      <w:r>
        <w:t xml:space="preserve"> de ABAC Chile, Pedro Pablo Errázuriz.</w:t>
      </w:r>
    </w:p>
    <w:p w14:paraId="1B8B7AC3" w14:textId="77777777" w:rsidR="00310E0A" w:rsidRDefault="00310E0A" w:rsidP="002156AC">
      <w:pPr>
        <w:jc w:val="both"/>
      </w:pPr>
    </w:p>
    <w:p w14:paraId="729DEA66" w14:textId="4C28936B" w:rsidR="00310E0A" w:rsidRDefault="00310E0A" w:rsidP="002156AC">
      <w:pPr>
        <w:jc w:val="both"/>
      </w:pPr>
      <w:r>
        <w:t xml:space="preserve">La reunión estuvo marcada por la baja participación de los ABAC, en gran parte por la dificultad logística que presentaba el lugar elegido para la organización, pero no por eso fue menos productivo. </w:t>
      </w:r>
    </w:p>
    <w:p w14:paraId="5142711A" w14:textId="77777777" w:rsidR="00310E0A" w:rsidRDefault="00310E0A" w:rsidP="002156AC">
      <w:pPr>
        <w:jc w:val="both"/>
      </w:pPr>
    </w:p>
    <w:p w14:paraId="5A5C5CD4" w14:textId="53C0A7D7" w:rsidR="00F55E56" w:rsidRDefault="00DF57AC" w:rsidP="002156AC">
      <w:pPr>
        <w:jc w:val="both"/>
      </w:pPr>
      <w:r>
        <w:t>La di</w:t>
      </w:r>
      <w:r w:rsidR="002156AC">
        <w:t>scusión en el G</w:t>
      </w:r>
      <w:r>
        <w:t>rupo de Integración Econó</w:t>
      </w:r>
      <w:r w:rsidR="002156AC">
        <w:t>mica Regional estuvo centrada bá</w:t>
      </w:r>
      <w:r>
        <w:t xml:space="preserve">sicamente en dos grandes temas: FTAAP y la agenda de servicios de APEC. Para ambos efectos, la CTI </w:t>
      </w:r>
      <w:proofErr w:type="spellStart"/>
      <w:r>
        <w:t>Chair</w:t>
      </w:r>
      <w:proofErr w:type="spellEnd"/>
      <w:r>
        <w:t>,</w:t>
      </w:r>
      <w:r>
        <w:rPr>
          <w:rStyle w:val="Refdenotaalpie"/>
        </w:rPr>
        <w:footnoteReference w:id="2"/>
      </w:r>
      <w:r>
        <w:t xml:space="preserve"> Marie </w:t>
      </w:r>
      <w:proofErr w:type="spellStart"/>
      <w:r>
        <w:t>Shereylin</w:t>
      </w:r>
      <w:proofErr w:type="spellEnd"/>
      <w:r>
        <w:t xml:space="preserve"> </w:t>
      </w:r>
      <w:proofErr w:type="spellStart"/>
      <w:r>
        <w:t>D'Aquia</w:t>
      </w:r>
      <w:proofErr w:type="spellEnd"/>
      <w:r>
        <w:t xml:space="preserve"> hizo una presentación sobre el estado de avance de la discusión en APEC. Sobre el estudio del FTAAP, agradeció los inputs de ABAC a los primeros 8 capítulos, y explicó que el capítulo 9 recién ha sido circulado entre los oficiales de APEC, y que pronto se compartirá con ABAC. Se le hizo ver</w:t>
      </w:r>
      <w:r w:rsidR="002156AC">
        <w:t xml:space="preserve"> por parte de los ABAC</w:t>
      </w:r>
      <w:r>
        <w:t xml:space="preserve"> que en general el estudio no reconocía suficientemente ni el rol de ABAC en la creación del FTAAP, ni los inputs del sector privado reflejados en el estudio de Peter Petri que entregó ABAC a los Líderes en Manila el año pasado. Para estos efectos ABAC acordó una lista de 31 recomendaciones que entregarán por medio de una carta al SOM </w:t>
      </w:r>
      <w:proofErr w:type="spellStart"/>
      <w:r>
        <w:t>Chair</w:t>
      </w:r>
      <w:proofErr w:type="spellEnd"/>
      <w:r>
        <w:rPr>
          <w:rStyle w:val="Refdenotaalpie"/>
        </w:rPr>
        <w:footnoteReference w:id="3"/>
      </w:r>
      <w:r>
        <w:t xml:space="preserve">.  Estos hacen relación a la necesidad de tomar pasos rápidos para la realización del FTAAP, a recoger la visión del sector privado para que sea un acuerdo útil, y a que sea del máximo estándar y recoja los asuntos de nueva generación de la mejor forma posible. También hicieron ver que es necesario que se circule el capítulo 9 para poder comentar de forma integral el texto. </w:t>
      </w:r>
    </w:p>
    <w:p w14:paraId="24622827" w14:textId="77777777" w:rsidR="00DF57AC" w:rsidRDefault="00DF57AC" w:rsidP="002156AC">
      <w:pPr>
        <w:jc w:val="both"/>
      </w:pPr>
      <w:r>
        <w:lastRenderedPageBreak/>
        <w:t xml:space="preserve">Sobre la agenda de servicios, se aprobó una serie de "inputs de alto nivel" de ABAC para apoyar la realización del </w:t>
      </w:r>
      <w:proofErr w:type="spellStart"/>
      <w:r>
        <w:t>Services</w:t>
      </w:r>
      <w:proofErr w:type="spellEnd"/>
      <w:r>
        <w:t xml:space="preserve"> </w:t>
      </w:r>
      <w:proofErr w:type="spellStart"/>
      <w:r>
        <w:t>Roadmap</w:t>
      </w:r>
      <w:proofErr w:type="spellEnd"/>
      <w:r>
        <w:t xml:space="preserve"> de APEC</w:t>
      </w:r>
      <w:r>
        <w:rPr>
          <w:rStyle w:val="Refdenotaalpie"/>
        </w:rPr>
        <w:footnoteReference w:id="4"/>
      </w:r>
      <w:r>
        <w:t xml:space="preserve">. Estos dicen relación con la importancia que este mercado representa para la economía en este momento, la oportunidad que existe para su liberalización, y la relevancia de las reformas estructurales que deben emprender las economías para potenciarlos, ya que no basta con la mera liberación comercial. Sobre el aspecto de transparencia y predictibilidad de los mercados, la CTI </w:t>
      </w:r>
      <w:proofErr w:type="spellStart"/>
      <w:r>
        <w:t>Chair</w:t>
      </w:r>
      <w:proofErr w:type="spellEnd"/>
      <w:r>
        <w:t xml:space="preserve"> explicó que actualmente APEC debate la posibilidad de crear un índice de restricción externo, o sumarse a todas las economías a alguno existente, como el STRI de la OCDE. </w:t>
      </w:r>
    </w:p>
    <w:p w14:paraId="64AB32A9" w14:textId="77777777" w:rsidR="004E32CE" w:rsidRDefault="004E32CE" w:rsidP="002156AC">
      <w:pPr>
        <w:jc w:val="both"/>
      </w:pPr>
    </w:p>
    <w:p w14:paraId="16C37D13" w14:textId="2F9C8641" w:rsidR="004E32CE" w:rsidRDefault="002156AC" w:rsidP="002156AC">
      <w:pPr>
        <w:jc w:val="both"/>
      </w:pPr>
      <w:r>
        <w:t>El grupo de PYME comenzó con una presentación de</w:t>
      </w:r>
      <w:r w:rsidR="00634901">
        <w:t xml:space="preserve"> la CTI </w:t>
      </w:r>
      <w:proofErr w:type="spellStart"/>
      <w:r w:rsidR="00634901">
        <w:t>Chair</w:t>
      </w:r>
      <w:proofErr w:type="spellEnd"/>
      <w:r w:rsidR="00634901">
        <w:t xml:space="preserve"> sobre el estado de avance de la </w:t>
      </w:r>
      <w:proofErr w:type="spellStart"/>
      <w:r w:rsidR="00634901" w:rsidRPr="002156AC">
        <w:rPr>
          <w:i/>
        </w:rPr>
        <w:t>Boracay</w:t>
      </w:r>
      <w:proofErr w:type="spellEnd"/>
      <w:r w:rsidR="00634901" w:rsidRPr="002156AC">
        <w:rPr>
          <w:i/>
        </w:rPr>
        <w:t xml:space="preserve"> </w:t>
      </w:r>
      <w:proofErr w:type="spellStart"/>
      <w:r w:rsidR="00634901" w:rsidRPr="002156AC">
        <w:rPr>
          <w:i/>
        </w:rPr>
        <w:t>Action</w:t>
      </w:r>
      <w:proofErr w:type="spellEnd"/>
      <w:r w:rsidR="00634901" w:rsidRPr="002156AC">
        <w:rPr>
          <w:i/>
        </w:rPr>
        <w:t xml:space="preserve"> Agenda to </w:t>
      </w:r>
      <w:proofErr w:type="spellStart"/>
      <w:r w:rsidR="00634901" w:rsidRPr="002156AC">
        <w:rPr>
          <w:i/>
        </w:rPr>
        <w:t>Globalize</w:t>
      </w:r>
      <w:proofErr w:type="spellEnd"/>
      <w:r w:rsidR="00634901" w:rsidRPr="002156AC">
        <w:rPr>
          <w:i/>
        </w:rPr>
        <w:t xml:space="preserve"> de </w:t>
      </w:r>
      <w:proofErr w:type="spellStart"/>
      <w:r w:rsidR="00634901" w:rsidRPr="002156AC">
        <w:rPr>
          <w:i/>
        </w:rPr>
        <w:t>SMEs</w:t>
      </w:r>
      <w:proofErr w:type="spellEnd"/>
      <w:r w:rsidR="00634901">
        <w:t xml:space="preserve">, y del </w:t>
      </w:r>
      <w:r w:rsidR="00634901" w:rsidRPr="002156AC">
        <w:rPr>
          <w:i/>
        </w:rPr>
        <w:t xml:space="preserve">APEC </w:t>
      </w:r>
      <w:proofErr w:type="spellStart"/>
      <w:r w:rsidR="00634901" w:rsidRPr="002156AC">
        <w:rPr>
          <w:i/>
        </w:rPr>
        <w:t>MSMEs</w:t>
      </w:r>
      <w:proofErr w:type="spellEnd"/>
      <w:r w:rsidR="00634901" w:rsidRPr="002156AC">
        <w:rPr>
          <w:i/>
        </w:rPr>
        <w:t xml:space="preserve"> </w:t>
      </w:r>
      <w:proofErr w:type="spellStart"/>
      <w:r w:rsidR="00634901" w:rsidRPr="002156AC">
        <w:rPr>
          <w:i/>
        </w:rPr>
        <w:t>Market</w:t>
      </w:r>
      <w:proofErr w:type="spellEnd"/>
      <w:r w:rsidR="00634901">
        <w:t xml:space="preserve"> Place, que busca ser un portal de información para las </w:t>
      </w:r>
      <w:proofErr w:type="spellStart"/>
      <w:r w:rsidR="00634901">
        <w:t>PYMEs</w:t>
      </w:r>
      <w:proofErr w:type="spellEnd"/>
      <w:r w:rsidR="00634901">
        <w:t xml:space="preserve">, agrupando iniciativas que también lleva adelante ABAC. Dentro de estas se destaca el programa de </w:t>
      </w:r>
      <w:proofErr w:type="spellStart"/>
      <w:r w:rsidR="00634901" w:rsidRPr="002156AC">
        <w:rPr>
          <w:i/>
        </w:rPr>
        <w:t>Capacity</w:t>
      </w:r>
      <w:proofErr w:type="spellEnd"/>
      <w:r w:rsidR="00634901" w:rsidRPr="002156AC">
        <w:rPr>
          <w:i/>
        </w:rPr>
        <w:t xml:space="preserve"> </w:t>
      </w:r>
      <w:proofErr w:type="spellStart"/>
      <w:r w:rsidR="00634901" w:rsidRPr="002156AC">
        <w:rPr>
          <w:i/>
        </w:rPr>
        <w:t>Building</w:t>
      </w:r>
      <w:proofErr w:type="spellEnd"/>
      <w:r w:rsidR="00634901" w:rsidRPr="002156AC">
        <w:rPr>
          <w:i/>
        </w:rPr>
        <w:t xml:space="preserve"> en E-Commerce</w:t>
      </w:r>
      <w:r w:rsidR="00634901">
        <w:t xml:space="preserve"> de ABAC China, que en paralelo a esta reunión de ABAC2 hizo una capacitación para 500 </w:t>
      </w:r>
      <w:proofErr w:type="spellStart"/>
      <w:r w:rsidR="00634901">
        <w:t>PYMEs</w:t>
      </w:r>
      <w:proofErr w:type="spellEnd"/>
      <w:r w:rsidR="00634901">
        <w:t xml:space="preserve"> de PNG, </w:t>
      </w:r>
      <w:r w:rsidR="00634901" w:rsidRPr="002156AC">
        <w:rPr>
          <w:i/>
        </w:rPr>
        <w:t>y el Asia-</w:t>
      </w:r>
      <w:proofErr w:type="spellStart"/>
      <w:r w:rsidR="00634901" w:rsidRPr="002156AC">
        <w:rPr>
          <w:i/>
        </w:rPr>
        <w:t>Pacific</w:t>
      </w:r>
      <w:proofErr w:type="spellEnd"/>
      <w:r w:rsidR="00634901" w:rsidRPr="002156AC">
        <w:rPr>
          <w:i/>
        </w:rPr>
        <w:t xml:space="preserve"> Open </w:t>
      </w:r>
      <w:proofErr w:type="spellStart"/>
      <w:r w:rsidR="00634901" w:rsidRPr="002156AC">
        <w:rPr>
          <w:i/>
        </w:rPr>
        <w:t>Innovation</w:t>
      </w:r>
      <w:proofErr w:type="spellEnd"/>
      <w:r w:rsidR="00634901" w:rsidRPr="002156AC">
        <w:rPr>
          <w:i/>
        </w:rPr>
        <w:t xml:space="preserve"> </w:t>
      </w:r>
      <w:proofErr w:type="spellStart"/>
      <w:r w:rsidR="00634901" w:rsidRPr="002156AC">
        <w:rPr>
          <w:i/>
        </w:rPr>
        <w:t>Platform</w:t>
      </w:r>
      <w:proofErr w:type="spellEnd"/>
      <w:r w:rsidR="00634901">
        <w:t xml:space="preserve">, de ABAC </w:t>
      </w:r>
      <w:proofErr w:type="spellStart"/>
      <w:r w:rsidR="00634901">
        <w:t>Taipei</w:t>
      </w:r>
      <w:proofErr w:type="spellEnd"/>
      <w:r w:rsidR="00634901">
        <w:t xml:space="preserve">-Chino, que conecta ideas innovadoras y nuevos usos de tecnologías por parte de </w:t>
      </w:r>
      <w:proofErr w:type="spellStart"/>
      <w:r w:rsidR="00634901">
        <w:t>PYMEs</w:t>
      </w:r>
      <w:proofErr w:type="spellEnd"/>
      <w:r w:rsidR="00634901">
        <w:t xml:space="preserve"> en la región. Este año tendrá su </w:t>
      </w:r>
      <w:proofErr w:type="spellStart"/>
      <w:r w:rsidR="00634901" w:rsidRPr="002156AC">
        <w:rPr>
          <w:i/>
        </w:rPr>
        <w:t>summit</w:t>
      </w:r>
      <w:proofErr w:type="spellEnd"/>
      <w:r w:rsidR="00634901">
        <w:t xml:space="preserve"> en </w:t>
      </w:r>
      <w:proofErr w:type="spellStart"/>
      <w:r w:rsidR="00634901">
        <w:t>Taipei</w:t>
      </w:r>
      <w:proofErr w:type="spellEnd"/>
      <w:r w:rsidR="00634901">
        <w:t xml:space="preserve">, al que se espera atiendan más de 15 mil participantes. Finalmente cabe destacar el avance del estudio sobre la participación den cadenas globales de valor de las </w:t>
      </w:r>
      <w:proofErr w:type="spellStart"/>
      <w:r w:rsidR="00634901">
        <w:t>PYMEs</w:t>
      </w:r>
      <w:proofErr w:type="spellEnd"/>
      <w:r w:rsidR="00634901">
        <w:t xml:space="preserve"> a través de grandes empre</w:t>
      </w:r>
      <w:r>
        <w:t>s</w:t>
      </w:r>
      <w:r w:rsidR="00634901">
        <w:t xml:space="preserve">as, que lleva adelante ABAC Filipinas, como un modelo de negocio inclusivo. Actualmente se encuentra en la expansión de los casos prácticos estudiados. </w:t>
      </w:r>
    </w:p>
    <w:p w14:paraId="64A20928" w14:textId="77777777" w:rsidR="00634901" w:rsidRDefault="00634901" w:rsidP="002156AC">
      <w:pPr>
        <w:jc w:val="both"/>
      </w:pPr>
    </w:p>
    <w:p w14:paraId="374639C5" w14:textId="27805671" w:rsidR="00634901" w:rsidRDefault="00634901" w:rsidP="002156AC">
      <w:pPr>
        <w:jc w:val="both"/>
      </w:pPr>
      <w:r>
        <w:t xml:space="preserve">El Grupo de Finanzas, dirigido por </w:t>
      </w:r>
      <w:proofErr w:type="spellStart"/>
      <w:r>
        <w:t>Hiroyuki</w:t>
      </w:r>
      <w:proofErr w:type="spellEnd"/>
      <w:r>
        <w:t xml:space="preserve"> </w:t>
      </w:r>
      <w:proofErr w:type="spellStart"/>
      <w:r>
        <w:t>Susuki</w:t>
      </w:r>
      <w:proofErr w:type="spellEnd"/>
      <w:r>
        <w:t xml:space="preserve"> de ABAC Japón, quién participará en la próxima Cumbre de la Alianza del Pacífico, y el Lead </w:t>
      </w:r>
      <w:proofErr w:type="spellStart"/>
      <w:r>
        <w:t>Staffer</w:t>
      </w:r>
      <w:proofErr w:type="spellEnd"/>
      <w:r>
        <w:t xml:space="preserve"> JC </w:t>
      </w:r>
      <w:proofErr w:type="spellStart"/>
      <w:r>
        <w:t>Parrenas</w:t>
      </w:r>
      <w:proofErr w:type="spellEnd"/>
      <w:r>
        <w:t xml:space="preserve">, desarrolla muchas actividades en conjunto con otras instituciones de Asia. Así, durante la reunión de este grupo, así como el Caucus Financiero, se presentaron estados de avance de una serie de iniciativas de estas instituciones que cuentan con la colaboración de APEC. Así, se destacan, por ejemplo, el lanzamiento del </w:t>
      </w:r>
      <w:proofErr w:type="spellStart"/>
      <w:r w:rsidRPr="002156AC">
        <w:rPr>
          <w:i/>
        </w:rPr>
        <w:t>Financial</w:t>
      </w:r>
      <w:proofErr w:type="spellEnd"/>
      <w:r w:rsidRPr="002156AC">
        <w:rPr>
          <w:i/>
        </w:rPr>
        <w:t xml:space="preserve"> </w:t>
      </w:r>
      <w:proofErr w:type="spellStart"/>
      <w:r w:rsidRPr="002156AC">
        <w:rPr>
          <w:i/>
        </w:rPr>
        <w:t>Infrastructure</w:t>
      </w:r>
      <w:proofErr w:type="spellEnd"/>
      <w:r w:rsidRPr="002156AC">
        <w:rPr>
          <w:i/>
        </w:rPr>
        <w:t xml:space="preserve"> </w:t>
      </w:r>
      <w:proofErr w:type="spellStart"/>
      <w:r w:rsidRPr="002156AC">
        <w:rPr>
          <w:i/>
        </w:rPr>
        <w:t>Development</w:t>
      </w:r>
      <w:proofErr w:type="spellEnd"/>
      <w:r w:rsidRPr="002156AC">
        <w:rPr>
          <w:i/>
        </w:rPr>
        <w:t xml:space="preserve"> Network</w:t>
      </w:r>
      <w:r>
        <w:t xml:space="preserve"> en Manila, en l</w:t>
      </w:r>
      <w:r w:rsidR="0092514F">
        <w:t>a línea de Inclusión Financiera. En este mismo temase discutieron futuros pasos, como programas pilotos en distintos países asiáticos (por ejemplo, un programa de traspaso transfronterizo de información financiera entre los países del Mékong-5</w:t>
      </w:r>
      <w:r w:rsidR="0092514F">
        <w:rPr>
          <w:rStyle w:val="Refdenotaalpie"/>
        </w:rPr>
        <w:footnoteReference w:id="5"/>
      </w:r>
      <w:r w:rsidR="0092514F">
        <w:t xml:space="preserve">), y los resultados de un foro realizado por el </w:t>
      </w:r>
      <w:r w:rsidR="0092514F" w:rsidRPr="002156AC">
        <w:rPr>
          <w:i/>
        </w:rPr>
        <w:t xml:space="preserve">Asia </w:t>
      </w:r>
      <w:proofErr w:type="spellStart"/>
      <w:r w:rsidR="0092514F" w:rsidRPr="002156AC">
        <w:rPr>
          <w:i/>
        </w:rPr>
        <w:t>Development</w:t>
      </w:r>
      <w:proofErr w:type="spellEnd"/>
      <w:r w:rsidR="0092514F" w:rsidRPr="002156AC">
        <w:rPr>
          <w:i/>
        </w:rPr>
        <w:t xml:space="preserve"> Bank</w:t>
      </w:r>
      <w:r w:rsidR="0092514F">
        <w:t xml:space="preserve"> en Tokio, sobre cómo la educación en finanzas digitales puede mejorar el acceso al crédito de las </w:t>
      </w:r>
      <w:proofErr w:type="spellStart"/>
      <w:r w:rsidR="0092514F">
        <w:t>PYMEs</w:t>
      </w:r>
      <w:proofErr w:type="spellEnd"/>
      <w:r w:rsidR="0092514F">
        <w:t xml:space="preserve"> más pequeñas. En Desarrollo de Mercado de Capitales se destacó el avance de la iniciativa </w:t>
      </w:r>
      <w:r w:rsidR="0092514F" w:rsidRPr="002156AC">
        <w:rPr>
          <w:i/>
        </w:rPr>
        <w:t xml:space="preserve">Asia </w:t>
      </w:r>
      <w:proofErr w:type="spellStart"/>
      <w:r w:rsidR="0092514F" w:rsidRPr="002156AC">
        <w:rPr>
          <w:i/>
        </w:rPr>
        <w:t>Region</w:t>
      </w:r>
      <w:proofErr w:type="spellEnd"/>
      <w:r w:rsidR="0092514F" w:rsidRPr="002156AC">
        <w:rPr>
          <w:i/>
        </w:rPr>
        <w:t xml:space="preserve"> </w:t>
      </w:r>
      <w:proofErr w:type="spellStart"/>
      <w:r w:rsidR="0092514F" w:rsidRPr="002156AC">
        <w:rPr>
          <w:i/>
        </w:rPr>
        <w:t>Funds</w:t>
      </w:r>
      <w:proofErr w:type="spellEnd"/>
      <w:r w:rsidR="0092514F" w:rsidRPr="002156AC">
        <w:rPr>
          <w:i/>
        </w:rPr>
        <w:t xml:space="preserve"> Passports</w:t>
      </w:r>
      <w:r w:rsidR="0092514F">
        <w:t xml:space="preserve">, y la solicitud de ABAC EEUU de enfocar la discusión a la reducción de las barreras a los flujos de capitales. En </w:t>
      </w:r>
      <w:proofErr w:type="spellStart"/>
      <w:r w:rsidR="0092514F">
        <w:t>Infrastructura</w:t>
      </w:r>
      <w:proofErr w:type="spellEnd"/>
      <w:r w:rsidR="0092514F">
        <w:t xml:space="preserve">, Seguros, Pensiones y Financiamiento de Riesgo ante Desastres, se aprobaron planes de trabajo en cada área que continúa lo hecho hasta ahora. ABAC Australia presentó el </w:t>
      </w:r>
      <w:r w:rsidR="0092514F" w:rsidRPr="002156AC">
        <w:rPr>
          <w:i/>
        </w:rPr>
        <w:t xml:space="preserve">Global </w:t>
      </w:r>
      <w:proofErr w:type="spellStart"/>
      <w:r w:rsidR="0092514F" w:rsidRPr="002156AC">
        <w:rPr>
          <w:i/>
        </w:rPr>
        <w:t>Infrastructure</w:t>
      </w:r>
      <w:proofErr w:type="spellEnd"/>
      <w:r w:rsidR="0092514F" w:rsidRPr="002156AC">
        <w:rPr>
          <w:i/>
        </w:rPr>
        <w:t xml:space="preserve"> </w:t>
      </w:r>
      <w:proofErr w:type="spellStart"/>
      <w:r w:rsidR="0092514F" w:rsidRPr="002156AC">
        <w:rPr>
          <w:i/>
        </w:rPr>
        <w:t>Hub</w:t>
      </w:r>
      <w:proofErr w:type="spellEnd"/>
      <w:r w:rsidR="0092514F">
        <w:t xml:space="preserve">, anunciado por el G20 en Brisbane, el cual funcionará con un presupuesto de 50 millones de dólares, y reportará a los Ministros de Finanzas y Gobernadores de los Bancos Centrales del G20 directamente, con el ánimo de minimizar la brecha entre los </w:t>
      </w:r>
      <w:r w:rsidR="0092514F">
        <w:lastRenderedPageBreak/>
        <w:t xml:space="preserve">sectores público y privado para la creación de un mercado de desarrollo de infraestructura exitoso. Finalmente, en Innovación Financiera, se presentó los resultados del </w:t>
      </w:r>
      <w:proofErr w:type="spellStart"/>
      <w:r w:rsidR="0092514F" w:rsidRPr="002156AC">
        <w:rPr>
          <w:i/>
        </w:rPr>
        <w:t>Roun</w:t>
      </w:r>
      <w:r w:rsidR="002315DA" w:rsidRPr="002156AC">
        <w:rPr>
          <w:i/>
        </w:rPr>
        <w:t>d</w:t>
      </w:r>
      <w:r w:rsidR="0092514F" w:rsidRPr="002156AC">
        <w:rPr>
          <w:i/>
        </w:rPr>
        <w:t>table</w:t>
      </w:r>
      <w:proofErr w:type="spellEnd"/>
      <w:r w:rsidR="0092514F">
        <w:t xml:space="preserve"> realizado al margen del ABAC1</w:t>
      </w:r>
      <w:r w:rsidR="002315DA">
        <w:t xml:space="preserve"> en el campus de PayPal, donde se destacó la importancia de una plataforma regional con </w:t>
      </w:r>
      <w:proofErr w:type="spellStart"/>
      <w:r w:rsidR="002315DA" w:rsidRPr="002156AC">
        <w:rPr>
          <w:i/>
        </w:rPr>
        <w:t>stakeholders</w:t>
      </w:r>
      <w:proofErr w:type="spellEnd"/>
      <w:r w:rsidR="002315DA">
        <w:t xml:space="preserve"> del sector público y del privado en el desarrollo de las "</w:t>
      </w:r>
      <w:proofErr w:type="spellStart"/>
      <w:r w:rsidR="002315DA">
        <w:t>Fintechs</w:t>
      </w:r>
      <w:proofErr w:type="spellEnd"/>
      <w:r w:rsidR="002315DA">
        <w:t>"</w:t>
      </w:r>
      <w:r w:rsidR="002315DA">
        <w:rPr>
          <w:rStyle w:val="Refdenotaalpie"/>
        </w:rPr>
        <w:footnoteReference w:id="6"/>
      </w:r>
      <w:r w:rsidR="002315DA">
        <w:t xml:space="preserve">. Junto a otro </w:t>
      </w:r>
      <w:proofErr w:type="spellStart"/>
      <w:r w:rsidR="002315DA" w:rsidRPr="002156AC">
        <w:rPr>
          <w:i/>
        </w:rPr>
        <w:t>Roundtable</w:t>
      </w:r>
      <w:proofErr w:type="spellEnd"/>
      <w:r w:rsidR="002315DA">
        <w:t xml:space="preserve"> en innovación que tendrá lugar el 15 de julio en Hong Kong, se espera desarrollar recomendaciones al respecto para entregar a los Líderes en Lima. </w:t>
      </w:r>
    </w:p>
    <w:p w14:paraId="0180EB3F" w14:textId="77777777" w:rsidR="002315DA" w:rsidRDefault="002315DA" w:rsidP="002156AC">
      <w:pPr>
        <w:jc w:val="both"/>
      </w:pPr>
    </w:p>
    <w:p w14:paraId="1353938B" w14:textId="35122186" w:rsidR="002315DA" w:rsidRDefault="002315DA" w:rsidP="002156AC">
      <w:pPr>
        <w:jc w:val="both"/>
      </w:pPr>
      <w:r>
        <w:t xml:space="preserve">En el Grupo de Desarrollo Sustentable se discutió sobre los avances de nuevas tecnologías energéticas como el hidrógeno, que pueden llegar a ser de emisión de cero carbón. A partir de una propuesta de Rusia se acordó discutir formas de atacar el cambio climático, como un sistema de </w:t>
      </w:r>
      <w:proofErr w:type="spellStart"/>
      <w:r w:rsidRPr="002156AC">
        <w:rPr>
          <w:i/>
        </w:rPr>
        <w:t>taxing</w:t>
      </w:r>
      <w:proofErr w:type="spellEnd"/>
      <w:r>
        <w:t xml:space="preserve"> global a las emisiones de carbón</w:t>
      </w:r>
      <w:r w:rsidR="00153293">
        <w:rPr>
          <w:rStyle w:val="Refdenotaalpie"/>
        </w:rPr>
        <w:footnoteReference w:id="7"/>
      </w:r>
      <w:r>
        <w:t xml:space="preserve">. </w:t>
      </w:r>
      <w:r w:rsidR="00153293">
        <w:t xml:space="preserve">En </w:t>
      </w:r>
      <w:proofErr w:type="spellStart"/>
      <w:r w:rsidR="00153293" w:rsidRPr="002156AC">
        <w:rPr>
          <w:i/>
        </w:rPr>
        <w:t>Food</w:t>
      </w:r>
      <w:proofErr w:type="spellEnd"/>
      <w:r w:rsidR="00153293" w:rsidRPr="002156AC">
        <w:rPr>
          <w:i/>
        </w:rPr>
        <w:t xml:space="preserve"> Security</w:t>
      </w:r>
      <w:r w:rsidR="00153293">
        <w:t xml:space="preserve"> se aprobó buscar formas de enganchar al sector privado al PPFS</w:t>
      </w:r>
      <w:r w:rsidR="00153293">
        <w:rPr>
          <w:rStyle w:val="Refdenotaalpie"/>
        </w:rPr>
        <w:footnoteReference w:id="8"/>
      </w:r>
      <w:r w:rsidR="00153293">
        <w:t xml:space="preserve">, como organizando una ronda con </w:t>
      </w:r>
      <w:proofErr w:type="spellStart"/>
      <w:r w:rsidR="00153293">
        <w:t>CEOs</w:t>
      </w:r>
      <w:proofErr w:type="spellEnd"/>
      <w:r w:rsidR="00153293">
        <w:t xml:space="preserve"> de la industria . Sobre el estudio sobre medidas no arancelarias que afectan el mercado de alimentos, y que está desarrollando la </w:t>
      </w:r>
      <w:proofErr w:type="spellStart"/>
      <w:r w:rsidR="00153293">
        <w:t>Marshal</w:t>
      </w:r>
      <w:proofErr w:type="spellEnd"/>
      <w:r w:rsidR="00153293">
        <w:t xml:space="preserve"> </w:t>
      </w:r>
      <w:proofErr w:type="spellStart"/>
      <w:r w:rsidR="00153293">
        <w:t>School</w:t>
      </w:r>
      <w:proofErr w:type="spellEnd"/>
      <w:r w:rsidR="00153293">
        <w:t xml:space="preserve"> of </w:t>
      </w:r>
      <w:proofErr w:type="spellStart"/>
      <w:r w:rsidR="00153293">
        <w:t>Economics</w:t>
      </w:r>
      <w:proofErr w:type="spellEnd"/>
      <w:r w:rsidR="00153293">
        <w:t xml:space="preserve">, éste se encuentra en etapa de identificación de </w:t>
      </w:r>
      <w:proofErr w:type="spellStart"/>
      <w:r w:rsidR="00153293" w:rsidRPr="002156AC">
        <w:rPr>
          <w:i/>
        </w:rPr>
        <w:t>stakeholders</w:t>
      </w:r>
      <w:proofErr w:type="spellEnd"/>
      <w:r w:rsidR="00153293" w:rsidRPr="002156AC">
        <w:rPr>
          <w:i/>
        </w:rPr>
        <w:t xml:space="preserve"> </w:t>
      </w:r>
      <w:r w:rsidR="00153293">
        <w:t>para comenzar a hacer las entrevistas</w:t>
      </w:r>
      <w:r w:rsidR="00153293">
        <w:rPr>
          <w:rStyle w:val="Refdenotaalpie"/>
        </w:rPr>
        <w:footnoteReference w:id="9"/>
      </w:r>
      <w:r w:rsidR="00153293">
        <w:t xml:space="preserve">. Sobre la iniciativa sobre </w:t>
      </w:r>
      <w:r w:rsidR="00153293" w:rsidRPr="002156AC">
        <w:rPr>
          <w:i/>
        </w:rPr>
        <w:t xml:space="preserve">Rule of </w:t>
      </w:r>
      <w:proofErr w:type="spellStart"/>
      <w:r w:rsidR="00153293" w:rsidRPr="002156AC">
        <w:rPr>
          <w:i/>
        </w:rPr>
        <w:t>Law</w:t>
      </w:r>
      <w:proofErr w:type="spellEnd"/>
      <w:r w:rsidR="00153293" w:rsidRPr="002156AC">
        <w:rPr>
          <w:i/>
        </w:rPr>
        <w:t xml:space="preserve"> and </w:t>
      </w:r>
      <w:proofErr w:type="spellStart"/>
      <w:r w:rsidR="00153293" w:rsidRPr="002156AC">
        <w:rPr>
          <w:i/>
        </w:rPr>
        <w:t>Regulatory</w:t>
      </w:r>
      <w:proofErr w:type="spellEnd"/>
      <w:r w:rsidR="00153293" w:rsidRPr="002156AC">
        <w:rPr>
          <w:i/>
        </w:rPr>
        <w:t xml:space="preserve"> </w:t>
      </w:r>
      <w:proofErr w:type="spellStart"/>
      <w:r w:rsidR="00153293" w:rsidRPr="002156AC">
        <w:rPr>
          <w:i/>
        </w:rPr>
        <w:t>Quality</w:t>
      </w:r>
      <w:proofErr w:type="spellEnd"/>
      <w:r w:rsidR="00153293">
        <w:t>, fuertemente impulsada por ABAC Perú, se presentó el primer set de preguntas que se hará como encuesta, aunque muchos ABAC manifestaron su impresión de que debería dirigirse más hacia la reforma estr</w:t>
      </w:r>
      <w:r w:rsidR="002156AC">
        <w:t>u</w:t>
      </w:r>
      <w:r w:rsidR="00153293">
        <w:t xml:space="preserve">ctural. En cuanto a Minería, ABAC llamará al </w:t>
      </w:r>
      <w:proofErr w:type="spellStart"/>
      <w:r w:rsidR="00153293" w:rsidRPr="002156AC">
        <w:rPr>
          <w:i/>
        </w:rPr>
        <w:t>Mining</w:t>
      </w:r>
      <w:proofErr w:type="spellEnd"/>
      <w:r w:rsidR="00153293" w:rsidRPr="002156AC">
        <w:rPr>
          <w:i/>
        </w:rPr>
        <w:t xml:space="preserve"> </w:t>
      </w:r>
      <w:proofErr w:type="spellStart"/>
      <w:r w:rsidR="00153293" w:rsidRPr="002156AC">
        <w:rPr>
          <w:i/>
        </w:rPr>
        <w:t>Task</w:t>
      </w:r>
      <w:proofErr w:type="spellEnd"/>
      <w:r w:rsidR="00153293" w:rsidRPr="002156AC">
        <w:rPr>
          <w:i/>
        </w:rPr>
        <w:t xml:space="preserve"> </w:t>
      </w:r>
      <w:proofErr w:type="spellStart"/>
      <w:r w:rsidR="00153293" w:rsidRPr="002156AC">
        <w:rPr>
          <w:i/>
        </w:rPr>
        <w:t>Force</w:t>
      </w:r>
      <w:proofErr w:type="spellEnd"/>
      <w:r w:rsidR="00153293">
        <w:t xml:space="preserve"> de APEC a </w:t>
      </w:r>
      <w:proofErr w:type="spellStart"/>
      <w:r w:rsidR="00153293">
        <w:t>reinforzar</w:t>
      </w:r>
      <w:proofErr w:type="spellEnd"/>
      <w:r w:rsidR="00153293">
        <w:t xml:space="preserve"> la implementación de los 10 principios acordados en la Reunión Ministerial de Minería de 2007. No se apoyó, en cambio, la propuesta de Rusia de proponer un cambio en la forma en que funciona la bolsa de minerales de Londres, por estimarse que excede las atribuciones de ABAC. Finalmente, cabe destacar que se siguió discutiendo la forma de incorporarse el PPSTI</w:t>
      </w:r>
      <w:r w:rsidR="00153293">
        <w:rPr>
          <w:rStyle w:val="Refdenotaalpie"/>
        </w:rPr>
        <w:footnoteReference w:id="10"/>
      </w:r>
      <w:r w:rsidR="00153293">
        <w:t xml:space="preserve">, cuyos resultados se verán luego de la reunión de este grupo ahora en Arequipa. </w:t>
      </w:r>
    </w:p>
    <w:p w14:paraId="7E87F887" w14:textId="77777777" w:rsidR="00153293" w:rsidRDefault="00153293" w:rsidP="002156AC">
      <w:pPr>
        <w:jc w:val="both"/>
      </w:pPr>
    </w:p>
    <w:p w14:paraId="41564AEE" w14:textId="163826D2" w:rsidR="00153293" w:rsidRDefault="00153293" w:rsidP="002156AC">
      <w:pPr>
        <w:jc w:val="both"/>
      </w:pPr>
      <w:r>
        <w:t xml:space="preserve">Por último, el Grupo de Conectividad discutió el tema en sus tres dimensiones. Se destacó la presentación de hecha por el EC </w:t>
      </w:r>
      <w:proofErr w:type="spellStart"/>
      <w:r>
        <w:t>Chair</w:t>
      </w:r>
      <w:proofErr w:type="spellEnd"/>
      <w:r>
        <w:t xml:space="preserve"> Roy </w:t>
      </w:r>
      <w:proofErr w:type="spellStart"/>
      <w:r>
        <w:t>Mclead</w:t>
      </w:r>
      <w:proofErr w:type="spellEnd"/>
      <w:r>
        <w:rPr>
          <w:rStyle w:val="Refdenotaalpie"/>
        </w:rPr>
        <w:footnoteReference w:id="11"/>
      </w:r>
      <w:r>
        <w:t xml:space="preserve">, sobre el momento propicio para iniciar reformas estructurales, y como estas pueden rentabilizar hasta el doble para las economías que las comerciales, especialmente si son internas. También explicó cómo APEC ha dirigido el esfuerzo de la Reforma Estructural hacia los servicios con el objeto de hacerse parte de la agenda para fomentar este mercado. En otros aspectos de la conectividad se presentaron avances respecto del trabajo en ABAC1, con el ánimo de presentar reportes definitivos en ABAC3. </w:t>
      </w:r>
    </w:p>
    <w:p w14:paraId="78E221D0" w14:textId="77777777" w:rsidR="00153293" w:rsidRDefault="00153293" w:rsidP="002156AC">
      <w:pPr>
        <w:jc w:val="both"/>
      </w:pPr>
    </w:p>
    <w:p w14:paraId="0335FC51" w14:textId="139CE53A" w:rsidR="00153293" w:rsidRDefault="00153293" w:rsidP="002156AC">
      <w:pPr>
        <w:jc w:val="both"/>
      </w:pPr>
      <w:r>
        <w:lastRenderedPageBreak/>
        <w:t xml:space="preserve">Junto con estas actividades se desarrollaron </w:t>
      </w:r>
      <w:r w:rsidR="00310E0A">
        <w:t xml:space="preserve">3 </w:t>
      </w:r>
      <w:proofErr w:type="spellStart"/>
      <w:r w:rsidR="00310E0A" w:rsidRPr="002156AC">
        <w:rPr>
          <w:i/>
        </w:rPr>
        <w:t>luncheo</w:t>
      </w:r>
      <w:r w:rsidR="002156AC" w:rsidRPr="002156AC">
        <w:rPr>
          <w:i/>
        </w:rPr>
        <w:t>n</w:t>
      </w:r>
      <w:r w:rsidR="00310E0A" w:rsidRPr="002156AC">
        <w:rPr>
          <w:i/>
        </w:rPr>
        <w:t>s</w:t>
      </w:r>
      <w:proofErr w:type="spellEnd"/>
      <w:r w:rsidR="00310E0A">
        <w:t xml:space="preserve"> centrados en la industria extractiva de PNG, la más importante de dicha economía. Estos trataron sobre:</w:t>
      </w:r>
    </w:p>
    <w:p w14:paraId="1DD6FA19" w14:textId="33535A6C" w:rsidR="00310E0A" w:rsidRDefault="00310E0A" w:rsidP="002156AC">
      <w:pPr>
        <w:pStyle w:val="Prrafodelista"/>
        <w:numPr>
          <w:ilvl w:val="0"/>
          <w:numId w:val="1"/>
        </w:numPr>
        <w:jc w:val="both"/>
      </w:pPr>
      <w:r>
        <w:t xml:space="preserve">La participación de las mujeres y la responsabilidad social empresarial al respecto, que se enfrenta a la realidad de la dramática violencia de género que sufre el país. </w:t>
      </w:r>
    </w:p>
    <w:p w14:paraId="41646F7C" w14:textId="73C05F61" w:rsidR="00310E0A" w:rsidRDefault="00310E0A" w:rsidP="002156AC">
      <w:pPr>
        <w:pStyle w:val="Prrafodelista"/>
        <w:numPr>
          <w:ilvl w:val="0"/>
          <w:numId w:val="1"/>
        </w:numPr>
        <w:jc w:val="both"/>
      </w:pPr>
      <w:r>
        <w:t xml:space="preserve">Los proyectos de inversión y de reforma institucional para atraer más y asegurarla. </w:t>
      </w:r>
    </w:p>
    <w:p w14:paraId="01077F4D" w14:textId="1A552603" w:rsidR="00310E0A" w:rsidRDefault="00310E0A" w:rsidP="002156AC">
      <w:pPr>
        <w:pStyle w:val="Prrafodelista"/>
        <w:numPr>
          <w:ilvl w:val="0"/>
          <w:numId w:val="1"/>
        </w:numPr>
        <w:jc w:val="both"/>
      </w:pPr>
      <w:r>
        <w:t xml:space="preserve">El </w:t>
      </w:r>
      <w:proofErr w:type="spellStart"/>
      <w:r w:rsidRPr="002156AC">
        <w:rPr>
          <w:i/>
        </w:rPr>
        <w:t>Economic</w:t>
      </w:r>
      <w:proofErr w:type="spellEnd"/>
      <w:r w:rsidRPr="002156AC">
        <w:rPr>
          <w:i/>
        </w:rPr>
        <w:t xml:space="preserve"> Outlook</w:t>
      </w:r>
      <w:r>
        <w:t xml:space="preserve"> de PNG, que como un país fuertemente dependiente de los precios de los </w:t>
      </w:r>
      <w:proofErr w:type="spellStart"/>
      <w:r w:rsidRPr="002156AC">
        <w:rPr>
          <w:i/>
        </w:rPr>
        <w:t>commodities</w:t>
      </w:r>
      <w:proofErr w:type="spellEnd"/>
      <w:r>
        <w:t xml:space="preserve">, se ha visto afectado por el contexto económico internacional reciente. </w:t>
      </w:r>
    </w:p>
    <w:p w14:paraId="4FA00679" w14:textId="77777777" w:rsidR="00310E0A" w:rsidRDefault="00310E0A" w:rsidP="002156AC">
      <w:pPr>
        <w:jc w:val="both"/>
      </w:pPr>
    </w:p>
    <w:p w14:paraId="53AA6CEC" w14:textId="3AA09CF9" w:rsidR="00310E0A" w:rsidRDefault="00310E0A" w:rsidP="002156AC">
      <w:pPr>
        <w:jc w:val="both"/>
      </w:pPr>
      <w:r>
        <w:t>Para finalizar cabe destacar dos aspectos:</w:t>
      </w:r>
    </w:p>
    <w:p w14:paraId="4C21755F" w14:textId="77777777" w:rsidR="00310E0A" w:rsidRDefault="00310E0A" w:rsidP="002156AC">
      <w:pPr>
        <w:jc w:val="both"/>
      </w:pPr>
    </w:p>
    <w:p w14:paraId="3EB2BFAB" w14:textId="01802381" w:rsidR="00310E0A" w:rsidRDefault="00310E0A" w:rsidP="002156AC">
      <w:pPr>
        <w:pStyle w:val="Prrafodelista"/>
        <w:numPr>
          <w:ilvl w:val="0"/>
          <w:numId w:val="2"/>
        </w:numPr>
        <w:jc w:val="both"/>
      </w:pPr>
      <w:r>
        <w:t xml:space="preserve">En la redacción de la Carta de los ABAC al MRT se replicó la discusión paralela que se da en APEC sobre los pasos a seguir luego del estudio del FTAAP, donde la palabra "negociaciones", a pesar de los esfuerzos de ABAC China, no fue incluida. </w:t>
      </w:r>
    </w:p>
    <w:p w14:paraId="11B25554" w14:textId="470FD9D8" w:rsidR="00310E0A" w:rsidRDefault="00DD15AF" w:rsidP="002156AC">
      <w:pPr>
        <w:pStyle w:val="Prrafodelista"/>
        <w:numPr>
          <w:ilvl w:val="0"/>
          <w:numId w:val="2"/>
        </w:numPr>
        <w:jc w:val="both"/>
      </w:pPr>
      <w:r>
        <w:t>Las inv</w:t>
      </w:r>
      <w:r w:rsidR="00310E0A">
        <w:t xml:space="preserve">itaciones del CEO Summit a las actividades programadas para mayo en Arequipa, así como la presentación del CEO Summit en Noviembre. ABAC Chile ya trabaja en la convocatoria a ambas. </w:t>
      </w:r>
    </w:p>
    <w:p w14:paraId="0512A9DB" w14:textId="77777777" w:rsidR="002156AC" w:rsidRDefault="002156AC" w:rsidP="002156AC">
      <w:pPr>
        <w:jc w:val="both"/>
      </w:pPr>
      <w:bookmarkStart w:id="0" w:name="_GoBack"/>
      <w:bookmarkEnd w:id="0"/>
    </w:p>
    <w:p w14:paraId="2834B40E" w14:textId="04CFE992" w:rsidR="002156AC" w:rsidRDefault="002156AC" w:rsidP="002156AC">
      <w:pPr>
        <w:jc w:val="both"/>
      </w:pPr>
      <w:r>
        <w:t xml:space="preserve">Pedro Pablo Errázuriz L. </w:t>
      </w:r>
    </w:p>
    <w:p w14:paraId="73B1BDEC" w14:textId="374029A2" w:rsidR="002156AC" w:rsidRDefault="002156AC" w:rsidP="002156AC">
      <w:pPr>
        <w:jc w:val="both"/>
      </w:pPr>
      <w:r>
        <w:t xml:space="preserve">Lead </w:t>
      </w:r>
      <w:proofErr w:type="spellStart"/>
      <w:r>
        <w:t>Staffer</w:t>
      </w:r>
      <w:proofErr w:type="spellEnd"/>
      <w:r>
        <w:t xml:space="preserve"> ABAC Chile. </w:t>
      </w:r>
    </w:p>
    <w:sectPr w:rsidR="002156AC" w:rsidSect="00F55E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DF77F" w14:textId="77777777" w:rsidR="002156AC" w:rsidRDefault="002156AC" w:rsidP="00DF57AC">
      <w:r>
        <w:separator/>
      </w:r>
    </w:p>
  </w:endnote>
  <w:endnote w:type="continuationSeparator" w:id="0">
    <w:p w14:paraId="0C75E90F" w14:textId="77777777" w:rsidR="002156AC" w:rsidRDefault="002156AC" w:rsidP="00DF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3062C" w14:textId="77777777" w:rsidR="002156AC" w:rsidRDefault="002156AC" w:rsidP="00DF57AC">
      <w:r>
        <w:separator/>
      </w:r>
    </w:p>
  </w:footnote>
  <w:footnote w:type="continuationSeparator" w:id="0">
    <w:p w14:paraId="3CC5C34E" w14:textId="77777777" w:rsidR="002156AC" w:rsidRDefault="002156AC" w:rsidP="00DF57AC">
      <w:r>
        <w:continuationSeparator/>
      </w:r>
    </w:p>
  </w:footnote>
  <w:footnote w:id="1">
    <w:p w14:paraId="5516BC1E" w14:textId="2F385381" w:rsidR="002156AC" w:rsidRDefault="002156AC">
      <w:pPr>
        <w:pStyle w:val="Textonotapie"/>
      </w:pPr>
      <w:r>
        <w:rPr>
          <w:rStyle w:val="Refdenotaalpie"/>
        </w:rPr>
        <w:footnoteRef/>
      </w:r>
      <w:r>
        <w:t xml:space="preserve"> Se acompaña como Anexo 1.</w:t>
      </w:r>
    </w:p>
  </w:footnote>
  <w:footnote w:id="2">
    <w:p w14:paraId="78B34920" w14:textId="77777777" w:rsidR="002156AC" w:rsidRDefault="002156AC">
      <w:pPr>
        <w:pStyle w:val="Textonotapie"/>
      </w:pPr>
      <w:r>
        <w:rPr>
          <w:rStyle w:val="Refdenotaalpie"/>
        </w:rPr>
        <w:footnoteRef/>
      </w:r>
      <w:r>
        <w:t xml:space="preserve"> El Comité de Inversiones y Comercio de APEC.</w:t>
      </w:r>
    </w:p>
  </w:footnote>
  <w:footnote w:id="3">
    <w:p w14:paraId="11095254" w14:textId="622C335D" w:rsidR="002156AC" w:rsidRDefault="002156AC">
      <w:pPr>
        <w:pStyle w:val="Textonotapie"/>
      </w:pPr>
      <w:r>
        <w:rPr>
          <w:rStyle w:val="Refdenotaalpie"/>
        </w:rPr>
        <w:footnoteRef/>
      </w:r>
      <w:r>
        <w:t xml:space="preserve"> Se acompañan como </w:t>
      </w:r>
      <w:r w:rsidR="001C310C" w:rsidRPr="001C310C">
        <w:t>A</w:t>
      </w:r>
      <w:r w:rsidRPr="001C310C">
        <w:t>nexo</w:t>
      </w:r>
      <w:r w:rsidR="001C310C" w:rsidRPr="001C310C">
        <w:t xml:space="preserve"> 2</w:t>
      </w:r>
      <w:r w:rsidRPr="001C310C">
        <w:t>.</w:t>
      </w:r>
      <w:r>
        <w:t xml:space="preserve"> </w:t>
      </w:r>
    </w:p>
  </w:footnote>
  <w:footnote w:id="4">
    <w:p w14:paraId="2DA8242D" w14:textId="42124977" w:rsidR="002156AC" w:rsidRDefault="002156AC">
      <w:pPr>
        <w:pStyle w:val="Textonotapie"/>
      </w:pPr>
      <w:r>
        <w:rPr>
          <w:rStyle w:val="Refdenotaalpie"/>
        </w:rPr>
        <w:footnoteRef/>
      </w:r>
      <w:r>
        <w:t xml:space="preserve"> Se acompañan como </w:t>
      </w:r>
      <w:r w:rsidR="001C310C">
        <w:t>A</w:t>
      </w:r>
      <w:r w:rsidRPr="002156AC">
        <w:t>nexo</w:t>
      </w:r>
      <w:r w:rsidR="001C310C">
        <w:t xml:space="preserve"> 3</w:t>
      </w:r>
      <w:r w:rsidRPr="002156AC">
        <w:t>.</w:t>
      </w:r>
    </w:p>
  </w:footnote>
  <w:footnote w:id="5">
    <w:p w14:paraId="2680AD03" w14:textId="77777777" w:rsidR="002156AC" w:rsidRDefault="002156AC">
      <w:pPr>
        <w:pStyle w:val="Textonotapie"/>
      </w:pPr>
      <w:r>
        <w:rPr>
          <w:rStyle w:val="Refdenotaalpie"/>
        </w:rPr>
        <w:footnoteRef/>
      </w:r>
      <w:r>
        <w:t xml:space="preserve"> Tailandia, Vietnam, China, Laos y </w:t>
      </w:r>
      <w:proofErr w:type="spellStart"/>
      <w:r>
        <w:t>Cambodia</w:t>
      </w:r>
      <w:proofErr w:type="spellEnd"/>
      <w:r>
        <w:t xml:space="preserve">. </w:t>
      </w:r>
    </w:p>
  </w:footnote>
  <w:footnote w:id="6">
    <w:p w14:paraId="531E67E5" w14:textId="2FC99CC6" w:rsidR="002156AC" w:rsidRDefault="002156AC">
      <w:pPr>
        <w:pStyle w:val="Textonotapie"/>
      </w:pPr>
      <w:r>
        <w:rPr>
          <w:rStyle w:val="Refdenotaalpie"/>
        </w:rPr>
        <w:footnoteRef/>
      </w:r>
      <w:r>
        <w:t xml:space="preserve"> En referencia al </w:t>
      </w:r>
      <w:proofErr w:type="spellStart"/>
      <w:r>
        <w:t>financimiento</w:t>
      </w:r>
      <w:proofErr w:type="spellEnd"/>
      <w:r>
        <w:t xml:space="preserve"> de </w:t>
      </w:r>
      <w:proofErr w:type="spellStart"/>
      <w:r>
        <w:t>start</w:t>
      </w:r>
      <w:proofErr w:type="spellEnd"/>
      <w:r>
        <w:t>-ups tecnológicos.</w:t>
      </w:r>
    </w:p>
  </w:footnote>
  <w:footnote w:id="7">
    <w:p w14:paraId="1F42DE37" w14:textId="6F248715" w:rsidR="002156AC" w:rsidRDefault="002156AC">
      <w:pPr>
        <w:pStyle w:val="Textonotapie"/>
      </w:pPr>
      <w:r>
        <w:rPr>
          <w:rStyle w:val="Refdenotaalpie"/>
        </w:rPr>
        <w:footnoteRef/>
      </w:r>
      <w:r>
        <w:t xml:space="preserve"> En Chile se aplicará un impuesto de este tipo desde 2017.</w:t>
      </w:r>
    </w:p>
  </w:footnote>
  <w:footnote w:id="8">
    <w:p w14:paraId="31C0A53C" w14:textId="3EFFF9E0" w:rsidR="002156AC" w:rsidRDefault="002156AC">
      <w:pPr>
        <w:pStyle w:val="Textonotapie"/>
      </w:pPr>
      <w:r>
        <w:rPr>
          <w:rStyle w:val="Refdenotaalpie"/>
        </w:rPr>
        <w:footnoteRef/>
      </w:r>
      <w:r>
        <w:t xml:space="preserve"> </w:t>
      </w:r>
      <w:proofErr w:type="spellStart"/>
      <w:r>
        <w:t>Policy</w:t>
      </w:r>
      <w:proofErr w:type="spellEnd"/>
      <w:r>
        <w:t xml:space="preserve"> </w:t>
      </w:r>
      <w:proofErr w:type="spellStart"/>
      <w:r>
        <w:t>Partnership</w:t>
      </w:r>
      <w:proofErr w:type="spellEnd"/>
      <w:r>
        <w:t xml:space="preserve"> in </w:t>
      </w:r>
      <w:proofErr w:type="spellStart"/>
      <w:r>
        <w:t>Food</w:t>
      </w:r>
      <w:proofErr w:type="spellEnd"/>
      <w:r>
        <w:t xml:space="preserve"> Security, formado tanto por ABAC como por APEC. </w:t>
      </w:r>
    </w:p>
  </w:footnote>
  <w:footnote w:id="9">
    <w:p w14:paraId="3F0DCF9D" w14:textId="006DF4A2" w:rsidR="002156AC" w:rsidRDefault="002156AC">
      <w:pPr>
        <w:pStyle w:val="Textonotapie"/>
      </w:pPr>
      <w:r>
        <w:rPr>
          <w:rStyle w:val="Refdenotaalpie"/>
        </w:rPr>
        <w:footnoteRef/>
      </w:r>
      <w:r>
        <w:t xml:space="preserve"> En el caso chileno ya habrían sido identificados e informados por la Fundación. </w:t>
      </w:r>
    </w:p>
  </w:footnote>
  <w:footnote w:id="10">
    <w:p w14:paraId="58728CBD" w14:textId="14904A88" w:rsidR="002156AC" w:rsidRDefault="002156AC">
      <w:pPr>
        <w:pStyle w:val="Textonotapie"/>
      </w:pPr>
      <w:r>
        <w:rPr>
          <w:rStyle w:val="Refdenotaalpie"/>
        </w:rPr>
        <w:footnoteRef/>
      </w:r>
      <w:r>
        <w:t xml:space="preserve"> </w:t>
      </w:r>
      <w:proofErr w:type="spellStart"/>
      <w:r>
        <w:t>Policy</w:t>
      </w:r>
      <w:proofErr w:type="spellEnd"/>
      <w:r>
        <w:t xml:space="preserve"> </w:t>
      </w:r>
      <w:proofErr w:type="spellStart"/>
      <w:r>
        <w:t>Partnership</w:t>
      </w:r>
      <w:proofErr w:type="spellEnd"/>
      <w:r>
        <w:t xml:space="preserve"> in </w:t>
      </w:r>
      <w:proofErr w:type="spellStart"/>
      <w:r>
        <w:t>Science</w:t>
      </w:r>
      <w:proofErr w:type="spellEnd"/>
      <w:r>
        <w:t xml:space="preserve">, </w:t>
      </w:r>
      <w:proofErr w:type="spellStart"/>
      <w:r>
        <w:t>Technology</w:t>
      </w:r>
      <w:proofErr w:type="spellEnd"/>
      <w:r>
        <w:t xml:space="preserve"> and </w:t>
      </w:r>
      <w:proofErr w:type="spellStart"/>
      <w:r>
        <w:t>Innovation</w:t>
      </w:r>
      <w:proofErr w:type="spellEnd"/>
      <w:r>
        <w:t xml:space="preserve">. ABAC fue parte en un comienzo, pero se retiró en 2012 ante la falta de avances concretos. </w:t>
      </w:r>
    </w:p>
  </w:footnote>
  <w:footnote w:id="11">
    <w:p w14:paraId="512AABBF" w14:textId="757D0C54" w:rsidR="002156AC" w:rsidRDefault="002156AC">
      <w:pPr>
        <w:pStyle w:val="Textonotapie"/>
      </w:pPr>
      <w:r>
        <w:rPr>
          <w:rStyle w:val="Refdenotaalpie"/>
        </w:rPr>
        <w:footnoteRef/>
      </w:r>
      <w:r>
        <w:t xml:space="preserve"> Comité Económico de APEC.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405AE"/>
    <w:multiLevelType w:val="hybridMultilevel"/>
    <w:tmpl w:val="1FB4B7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6F6017"/>
    <w:multiLevelType w:val="hybridMultilevel"/>
    <w:tmpl w:val="276804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AC"/>
    <w:rsid w:val="000C37AA"/>
    <w:rsid w:val="00153293"/>
    <w:rsid w:val="001C310C"/>
    <w:rsid w:val="002156AC"/>
    <w:rsid w:val="002315DA"/>
    <w:rsid w:val="00310E0A"/>
    <w:rsid w:val="004E32CE"/>
    <w:rsid w:val="00634901"/>
    <w:rsid w:val="0092514F"/>
    <w:rsid w:val="00DD15AF"/>
    <w:rsid w:val="00DF57AC"/>
    <w:rsid w:val="00F55E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D8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F57AC"/>
  </w:style>
  <w:style w:type="character" w:customStyle="1" w:styleId="TextonotapieCar">
    <w:name w:val="Texto nota pie Car"/>
    <w:basedOn w:val="Fuentedeprrafopredeter"/>
    <w:link w:val="Textonotapie"/>
    <w:uiPriority w:val="99"/>
    <w:rsid w:val="00DF57AC"/>
  </w:style>
  <w:style w:type="character" w:styleId="Refdenotaalpie">
    <w:name w:val="footnote reference"/>
    <w:basedOn w:val="Fuentedeprrafopredeter"/>
    <w:uiPriority w:val="99"/>
    <w:unhideWhenUsed/>
    <w:rsid w:val="00DF57AC"/>
    <w:rPr>
      <w:vertAlign w:val="superscript"/>
    </w:rPr>
  </w:style>
  <w:style w:type="paragraph" w:styleId="Prrafodelista">
    <w:name w:val="List Paragraph"/>
    <w:basedOn w:val="Normal"/>
    <w:uiPriority w:val="34"/>
    <w:qFormat/>
    <w:rsid w:val="00310E0A"/>
    <w:pPr>
      <w:ind w:left="720"/>
      <w:contextualSpacing/>
    </w:pPr>
  </w:style>
  <w:style w:type="table" w:styleId="Tablaconcuadrcula">
    <w:name w:val="Table Grid"/>
    <w:basedOn w:val="Tablanormal"/>
    <w:uiPriority w:val="59"/>
    <w:rsid w:val="0031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37AA"/>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F57AC"/>
  </w:style>
  <w:style w:type="character" w:customStyle="1" w:styleId="TextonotapieCar">
    <w:name w:val="Texto nota pie Car"/>
    <w:basedOn w:val="Fuentedeprrafopredeter"/>
    <w:link w:val="Textonotapie"/>
    <w:uiPriority w:val="99"/>
    <w:rsid w:val="00DF57AC"/>
  </w:style>
  <w:style w:type="character" w:styleId="Refdenotaalpie">
    <w:name w:val="footnote reference"/>
    <w:basedOn w:val="Fuentedeprrafopredeter"/>
    <w:uiPriority w:val="99"/>
    <w:unhideWhenUsed/>
    <w:rsid w:val="00DF57AC"/>
    <w:rPr>
      <w:vertAlign w:val="superscript"/>
    </w:rPr>
  </w:style>
  <w:style w:type="paragraph" w:styleId="Prrafodelista">
    <w:name w:val="List Paragraph"/>
    <w:basedOn w:val="Normal"/>
    <w:uiPriority w:val="34"/>
    <w:qFormat/>
    <w:rsid w:val="00310E0A"/>
    <w:pPr>
      <w:ind w:left="720"/>
      <w:contextualSpacing/>
    </w:pPr>
  </w:style>
  <w:style w:type="table" w:styleId="Tablaconcuadrcula">
    <w:name w:val="Table Grid"/>
    <w:basedOn w:val="Tablanormal"/>
    <w:uiPriority w:val="59"/>
    <w:rsid w:val="0031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37AA"/>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8292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Errázuriz Lobo</dc:creator>
  <cp:lastModifiedBy>PEDRO PABLO ERRAZURIZ</cp:lastModifiedBy>
  <cp:revision>3</cp:revision>
  <cp:lastPrinted>2016-04-29T13:16:00Z</cp:lastPrinted>
  <dcterms:created xsi:type="dcterms:W3CDTF">2016-04-29T13:16:00Z</dcterms:created>
  <dcterms:modified xsi:type="dcterms:W3CDTF">2016-11-02T13:51:00Z</dcterms:modified>
</cp:coreProperties>
</file>