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773B" w14:textId="0D7AA25D" w:rsidR="00DD2F10" w:rsidRPr="00DD2F10" w:rsidRDefault="004705C1" w:rsidP="00DD2F10">
      <w:pPr>
        <w:jc w:val="center"/>
        <w:rPr>
          <w:b/>
        </w:rPr>
      </w:pPr>
      <w:r>
        <w:rPr>
          <w:b/>
        </w:rPr>
        <w:t>Informe ABAC4</w:t>
      </w:r>
    </w:p>
    <w:p w14:paraId="235BF03F" w14:textId="0AD4A459" w:rsidR="00DD2F10" w:rsidRPr="00DD2F10" w:rsidRDefault="004705C1" w:rsidP="00DD2F10">
      <w:pPr>
        <w:jc w:val="center"/>
        <w:rPr>
          <w:b/>
        </w:rPr>
      </w:pPr>
      <w:r>
        <w:rPr>
          <w:b/>
        </w:rPr>
        <w:t>14 al</w:t>
      </w:r>
      <w:r w:rsidR="00DD2F10" w:rsidRPr="00DD2F10">
        <w:rPr>
          <w:b/>
        </w:rPr>
        <w:t xml:space="preserve"> </w:t>
      </w:r>
      <w:r w:rsidR="00B72FF4">
        <w:rPr>
          <w:b/>
        </w:rPr>
        <w:t xml:space="preserve">16 </w:t>
      </w:r>
      <w:r w:rsidR="00DD2F10" w:rsidRPr="00DD2F10">
        <w:rPr>
          <w:b/>
        </w:rPr>
        <w:t xml:space="preserve">de </w:t>
      </w:r>
      <w:r>
        <w:rPr>
          <w:b/>
        </w:rPr>
        <w:t>noviembre</w:t>
      </w:r>
      <w:r w:rsidR="00DD2F10" w:rsidRPr="00DD2F10">
        <w:rPr>
          <w:b/>
        </w:rPr>
        <w:t xml:space="preserve"> de 2016</w:t>
      </w:r>
    </w:p>
    <w:p w14:paraId="191C6440" w14:textId="24C51F2E" w:rsidR="00DD2F10" w:rsidRPr="00DD2F10" w:rsidRDefault="004705C1" w:rsidP="00DD2F10">
      <w:pPr>
        <w:jc w:val="center"/>
        <w:rPr>
          <w:b/>
        </w:rPr>
      </w:pPr>
      <w:r>
        <w:rPr>
          <w:b/>
        </w:rPr>
        <w:t>Lima</w:t>
      </w:r>
      <w:r w:rsidR="00DD2F10" w:rsidRPr="00DD2F10">
        <w:rPr>
          <w:b/>
        </w:rPr>
        <w:t xml:space="preserve">, </w:t>
      </w:r>
      <w:r>
        <w:rPr>
          <w:b/>
        </w:rPr>
        <w:t>Perú</w:t>
      </w:r>
      <w:r w:rsidR="00DD2F10" w:rsidRPr="00DD2F10">
        <w:rPr>
          <w:b/>
        </w:rPr>
        <w:t>.</w:t>
      </w:r>
    </w:p>
    <w:p w14:paraId="713EAA0A" w14:textId="77777777" w:rsidR="00DD2F10" w:rsidRDefault="00DD2F10"/>
    <w:p w14:paraId="464A27A2" w14:textId="4549F10D" w:rsidR="00B72FF4" w:rsidRDefault="00351B7E" w:rsidP="0048667C">
      <w:pPr>
        <w:jc w:val="both"/>
      </w:pPr>
      <w:r>
        <w:t xml:space="preserve">Entre los días </w:t>
      </w:r>
      <w:r w:rsidR="00B72FF4">
        <w:t xml:space="preserve">14 y </w:t>
      </w:r>
      <w:r w:rsidR="00D32D82">
        <w:t>20</w:t>
      </w:r>
      <w:r>
        <w:t xml:space="preserve"> de </w:t>
      </w:r>
      <w:r w:rsidR="00D32D82">
        <w:t>noviembre</w:t>
      </w:r>
      <w:r>
        <w:t xml:space="preserve"> se realizó en la ciudad de </w:t>
      </w:r>
      <w:r w:rsidR="00B72FF4">
        <w:t>Lima</w:t>
      </w:r>
      <w:r>
        <w:t xml:space="preserve">, </w:t>
      </w:r>
      <w:r w:rsidR="00B72FF4">
        <w:t>Perú</w:t>
      </w:r>
      <w:r>
        <w:t xml:space="preserve">, la </w:t>
      </w:r>
      <w:r w:rsidR="00B72FF4">
        <w:t>cuarta</w:t>
      </w:r>
      <w:r>
        <w:t xml:space="preserve"> reunión del año 2016 del grupo empresarial asesor de APEC (ABAC), conocida como ABAC</w:t>
      </w:r>
      <w:r w:rsidR="00B72FF4">
        <w:t>4</w:t>
      </w:r>
      <w:r>
        <w:t xml:space="preserve">. </w:t>
      </w:r>
      <w:r w:rsidR="00DD2F10">
        <w:t xml:space="preserve">En esta reunión se </w:t>
      </w:r>
      <w:r w:rsidR="00B72FF4">
        <w:t xml:space="preserve">analizó el trabajo realizado en el año, se tomaron las </w:t>
      </w:r>
      <w:r w:rsidR="00DD2F10">
        <w:t>defin</w:t>
      </w:r>
      <w:r w:rsidR="00B72FF4">
        <w:t>iciones finales respecto a</w:t>
      </w:r>
      <w:r w:rsidR="00DD2F10">
        <w:t xml:space="preserve"> las recomendaciones que se </w:t>
      </w:r>
      <w:r w:rsidR="00B72FF4">
        <w:t>entregaron</w:t>
      </w:r>
      <w:r w:rsidR="00DD2F10">
        <w:t xml:space="preserve"> a los Líderes en el Diálogo Líderes-ABA</w:t>
      </w:r>
      <w:r w:rsidR="00E9772E">
        <w:t xml:space="preserve">C del </w:t>
      </w:r>
      <w:r w:rsidR="00B72FF4">
        <w:t xml:space="preserve">día </w:t>
      </w:r>
      <w:r w:rsidR="00E9772E">
        <w:t>19 de noviembre</w:t>
      </w:r>
      <w:r w:rsidR="00B72FF4">
        <w:t>, y se presentó el plan de trabajo de ABAC para el año 2017</w:t>
      </w:r>
      <w:r w:rsidR="00E9772E">
        <w:t>; p</w:t>
      </w:r>
      <w:r w:rsidR="00DD2F10">
        <w:t>or tanto, el principal producto</w:t>
      </w:r>
      <w:r w:rsidR="00E9772E">
        <w:t xml:space="preserve"> de la reunión</w:t>
      </w:r>
      <w:r w:rsidR="00DD2F10">
        <w:t xml:space="preserve"> fue la carta y el reporte que </w:t>
      </w:r>
      <w:r w:rsidR="00B72FF4">
        <w:t>fueron</w:t>
      </w:r>
      <w:r w:rsidR="007C7AF1">
        <w:t xml:space="preserve"> entregados</w:t>
      </w:r>
      <w:r w:rsidR="00DD2F10">
        <w:t xml:space="preserve"> a los Líderes de APEC en esa fecha. Durante el encuentro se reunieron los 5 grupos de trabajo de ABAC (Integración Económica Regional, Finanzas y Economía, </w:t>
      </w:r>
      <w:proofErr w:type="spellStart"/>
      <w:r w:rsidR="00DD2F10">
        <w:t>PYMEs</w:t>
      </w:r>
      <w:proofErr w:type="spellEnd"/>
      <w:r w:rsidR="00DD2F10">
        <w:t xml:space="preserve"> y Emprendimiento, Conectividad, y Desarrollo Sustentable), el Caucus Financiero del Asia-Pacífico, y hubo reuniones-almuerzo de ABAC-Mujer y de </w:t>
      </w:r>
      <w:proofErr w:type="spellStart"/>
      <w:r w:rsidR="00DD2F10" w:rsidRPr="00DD2F10">
        <w:rPr>
          <w:i/>
        </w:rPr>
        <w:t>networking</w:t>
      </w:r>
      <w:proofErr w:type="spellEnd"/>
      <w:r w:rsidR="00DD2F10">
        <w:t xml:space="preserve">. </w:t>
      </w:r>
      <w:r w:rsidR="00B72FF4">
        <w:t>Además, posteri</w:t>
      </w:r>
      <w:r w:rsidR="00790F5C">
        <w:t>o</w:t>
      </w:r>
      <w:r w:rsidR="00B72FF4">
        <w:t>r a la realiza</w:t>
      </w:r>
      <w:r w:rsidR="007C7AF1">
        <w:t>ción de la reunión se dio inicio</w:t>
      </w:r>
      <w:r w:rsidR="00B72FF4">
        <w:t xml:space="preserve"> al CEO Summit, que contó con la participación de los miembros de ABAC, y de diferentes ejecutivos de empresas, siendo la chilena una de las delegaciones más numerosas.</w:t>
      </w:r>
      <w:r w:rsidR="00E9772E">
        <w:t xml:space="preserve"> </w:t>
      </w:r>
    </w:p>
    <w:p w14:paraId="13065588" w14:textId="77777777" w:rsidR="00B72FF4" w:rsidRDefault="00B72FF4" w:rsidP="0048667C">
      <w:pPr>
        <w:jc w:val="both"/>
      </w:pPr>
    </w:p>
    <w:p w14:paraId="357C9277" w14:textId="77777777" w:rsidR="00452288" w:rsidRDefault="00B72FF4" w:rsidP="0048667C">
      <w:pPr>
        <w:jc w:val="both"/>
      </w:pPr>
      <w:r>
        <w:t xml:space="preserve">Luego, el día 19 de noviembre se realizó el tradicional Diálogo de los Líderes de APEC con los miembros del Consejo, quienes en dicha oportunidad entregaron las recomendaciones definidas previamente. </w:t>
      </w:r>
      <w:r w:rsidR="00790F5C">
        <w:t xml:space="preserve">En este diálogo participó la Presidenta de la República de Chile S.E. Michelle Bachelet. </w:t>
      </w:r>
    </w:p>
    <w:p w14:paraId="67A25AE4" w14:textId="77777777" w:rsidR="00452288" w:rsidRDefault="00452288" w:rsidP="0048667C">
      <w:pPr>
        <w:jc w:val="both"/>
      </w:pPr>
    </w:p>
    <w:p w14:paraId="0C0E23B8" w14:textId="070BB819" w:rsidR="00F55E56" w:rsidRDefault="00351B7E" w:rsidP="0048667C">
      <w:pPr>
        <w:jc w:val="both"/>
      </w:pPr>
      <w:bookmarkStart w:id="0" w:name="_GoBack"/>
      <w:bookmarkEnd w:id="0"/>
      <w:r>
        <w:t>Por parte de Chile participaron el miembro de</w:t>
      </w:r>
      <w:r w:rsidR="007C7AF1">
        <w:t>l capítulo chileno de</w:t>
      </w:r>
      <w:r>
        <w:t xml:space="preserve"> ABAC</w:t>
      </w:r>
      <w:r w:rsidR="007C7AF1">
        <w:t>,</w:t>
      </w:r>
      <w:r>
        <w:t xml:space="preserve"> </w:t>
      </w:r>
      <w:r w:rsidR="00B72FF4">
        <w:t xml:space="preserve">los </w:t>
      </w:r>
      <w:r>
        <w:t>Sr. Alberto Salas,</w:t>
      </w:r>
      <w:r w:rsidR="007C7AF1">
        <w:t xml:space="preserve"> Alberto Larraín y Richard</w:t>
      </w:r>
      <w:r w:rsidR="00B72FF4">
        <w:t xml:space="preserve"> Von Appen,</w:t>
      </w:r>
      <w:r>
        <w:t xml:space="preserve"> el miembro alterno Sr. Francisco Garcés, la</w:t>
      </w:r>
      <w:r w:rsidR="00790F5C">
        <w:t xml:space="preserve"> </w:t>
      </w:r>
      <w:proofErr w:type="spellStart"/>
      <w:r w:rsidR="00790F5C">
        <w:t>staffer</w:t>
      </w:r>
      <w:proofErr w:type="spellEnd"/>
      <w:r w:rsidR="00790F5C">
        <w:t xml:space="preserve"> y</w:t>
      </w:r>
      <w:r>
        <w:t xml:space="preserve"> Directora Ejecutiva de la Fundación Chilena del Pací</w:t>
      </w:r>
      <w:r w:rsidR="007C7AF1">
        <w:t xml:space="preserve">fico, Sra. Loreto Leyton, y el lead </w:t>
      </w:r>
      <w:proofErr w:type="spellStart"/>
      <w:r w:rsidR="007C7AF1">
        <w:t>s</w:t>
      </w:r>
      <w:r>
        <w:t>taffer</w:t>
      </w:r>
      <w:proofErr w:type="spellEnd"/>
      <w:r>
        <w:t xml:space="preserve"> de Chile, Sr. Pedro Pablo Errázuriz. </w:t>
      </w:r>
    </w:p>
    <w:p w14:paraId="157CF47B" w14:textId="77777777" w:rsidR="00351B7E" w:rsidRDefault="00351B7E" w:rsidP="0048667C">
      <w:pPr>
        <w:jc w:val="both"/>
      </w:pPr>
    </w:p>
    <w:p w14:paraId="306541D3" w14:textId="5D5F1048" w:rsidR="00464761" w:rsidRDefault="00CD56DE" w:rsidP="0048667C">
      <w:pPr>
        <w:jc w:val="both"/>
      </w:pPr>
      <w:r>
        <w:t xml:space="preserve">En cuanto a los principales resultados de la reunión, cabe destacar: </w:t>
      </w:r>
    </w:p>
    <w:p w14:paraId="6D553624" w14:textId="77777777" w:rsidR="00CD56DE" w:rsidRDefault="00CD56DE" w:rsidP="0048667C">
      <w:pPr>
        <w:jc w:val="both"/>
      </w:pPr>
    </w:p>
    <w:p w14:paraId="379AFD71" w14:textId="1D0DB844" w:rsidR="00464761" w:rsidRDefault="0051346A" w:rsidP="0048667C">
      <w:pPr>
        <w:jc w:val="both"/>
      </w:pPr>
      <w:r>
        <w:t xml:space="preserve">En el grupo de Integración Económica Regional hubo un nutrido intercambio de opiniones sobre la situación en que queda el TPP con la elección de Donald </w:t>
      </w:r>
      <w:proofErr w:type="spellStart"/>
      <w:r>
        <w:t>Trump</w:t>
      </w:r>
      <w:proofErr w:type="spellEnd"/>
      <w:r>
        <w:t xml:space="preserve"> como Presidente de Estados Unidos, en la que en todo caso los miembros del capítulo estadounidense llamaron a ser cautos y a no sacar conclusiones apresuradas antes de que el nuevo gobierno haya asumido. De todas formas</w:t>
      </w:r>
      <w:r w:rsidR="007C7AF1">
        <w:t>,</w:t>
      </w:r>
      <w:r>
        <w:t xml:space="preserve"> miembros de todas las economías llamaron a seguir trabajando en lograr la pronta entrada en vigor de este acuerdo, como de los otros que el consejo ha identificado como vías para el FTAAP: el RCEP y la Alianza del Pacífico. Sobre este último, ABAC Canadá hizo una magistral presentación comparándola con iguales previsiones contenidas en el TPP.  </w:t>
      </w:r>
      <w:r w:rsidR="00950DE3">
        <w:t xml:space="preserve">Sobre el FTAAP, la preocupación compartida es que las economías bajen la ambición y no se alcance el acuerdo de alto nivel deseado. Finalmente también hubo espacio para expresarse sobre las Medidas no Arancelarias, que han proliferado como barreras al comercio a medidas que han bajado aquellas más tradicionales, solicitándose al Consejo a poner mayor énfasis en el estudio y discusión de ellas durante el próximo año. </w:t>
      </w:r>
    </w:p>
    <w:p w14:paraId="245FB925" w14:textId="77777777" w:rsidR="00950DE3" w:rsidRDefault="00950DE3" w:rsidP="0048667C">
      <w:pPr>
        <w:jc w:val="both"/>
      </w:pPr>
    </w:p>
    <w:p w14:paraId="14850703" w14:textId="125E2CF7" w:rsidR="00F34141" w:rsidRDefault="00F34141" w:rsidP="0048667C">
      <w:pPr>
        <w:jc w:val="both"/>
      </w:pPr>
      <w:r>
        <w:t>En el grupo de Finanzas</w:t>
      </w:r>
      <w:r w:rsidR="007C7AF1">
        <w:t xml:space="preserve"> y Economía</w:t>
      </w:r>
      <w:r>
        <w:t xml:space="preserve"> se presentó los resultados de la última Reunión Ministerial del ramo, y el plan de trabajo que desarrollará el Proceso de Ministros de Finanzas de APEC (FMP) durante el año 2017. Del mismo modo, se discutieron ideas para el plan de trabajo del grupo para este año, acordándose definirlo en la reunión ABAC1 de Bangkok. El Sr. Alberto Salas asumió como Co-</w:t>
      </w:r>
      <w:proofErr w:type="spellStart"/>
      <w:r>
        <w:t>Chair</w:t>
      </w:r>
      <w:proofErr w:type="spellEnd"/>
      <w:r>
        <w:t xml:space="preserve"> del grupo, y junto con el Sr. Francisco Garcés tuvieron una reunión con el ABAC de Estados Unidos Richard Cantor, en la cual aprovecharon de discutir el trabajo futuro. El </w:t>
      </w:r>
      <w:proofErr w:type="spellStart"/>
      <w:r>
        <w:t>Chair</w:t>
      </w:r>
      <w:proofErr w:type="spellEnd"/>
      <w:r>
        <w:t xml:space="preserve"> del grupo de Finanzas, </w:t>
      </w:r>
      <w:proofErr w:type="spellStart"/>
      <w:r>
        <w:t>Hiroyuki</w:t>
      </w:r>
      <w:proofErr w:type="spellEnd"/>
      <w:r>
        <w:t xml:space="preserve"> Suzuki, y el Lead </w:t>
      </w:r>
      <w:proofErr w:type="spellStart"/>
      <w:r>
        <w:t>Staffer</w:t>
      </w:r>
      <w:proofErr w:type="spellEnd"/>
      <w:r>
        <w:t xml:space="preserve"> del grupo, J.C. </w:t>
      </w:r>
      <w:proofErr w:type="spellStart"/>
      <w:r>
        <w:t>Parreñas</w:t>
      </w:r>
      <w:proofErr w:type="spellEnd"/>
      <w:r>
        <w:t>, se refirieron en palabras positivas a la visita que</w:t>
      </w:r>
      <w:r w:rsidR="006C0EE4">
        <w:t>, invitados por la Fundación Chilena del Pacífico,</w:t>
      </w:r>
      <w:r>
        <w:t xml:space="preserve"> hicieron a Chile con ocasión de la Cumbre de la Alianza del Pacífico, y a propósito de la Cumbre de APEC, respectivamente. </w:t>
      </w:r>
    </w:p>
    <w:p w14:paraId="4E6ACDBD" w14:textId="77777777" w:rsidR="00F34141" w:rsidRDefault="00F34141" w:rsidP="0048667C">
      <w:pPr>
        <w:jc w:val="both"/>
      </w:pPr>
    </w:p>
    <w:p w14:paraId="1FAF925E" w14:textId="5AA4CF56" w:rsidR="0061204B" w:rsidRDefault="0061204B" w:rsidP="0048667C">
      <w:pPr>
        <w:jc w:val="both"/>
      </w:pPr>
      <w:r>
        <w:t xml:space="preserve">En cuanto al grupo de </w:t>
      </w:r>
      <w:proofErr w:type="spellStart"/>
      <w:r>
        <w:t>PYMEs</w:t>
      </w:r>
      <w:proofErr w:type="spellEnd"/>
      <w:r>
        <w:t xml:space="preserve"> y Emprendimiento, una serie de estados de avance de distintas iniciativas fue </w:t>
      </w:r>
      <w:proofErr w:type="gramStart"/>
      <w:r>
        <w:t>presentado</w:t>
      </w:r>
      <w:proofErr w:type="gramEnd"/>
      <w:r>
        <w:t>:</w:t>
      </w:r>
    </w:p>
    <w:p w14:paraId="65735D20" w14:textId="2E2FAB56" w:rsidR="0061204B" w:rsidRDefault="0061204B" w:rsidP="0061204B">
      <w:pPr>
        <w:pStyle w:val="Prrafodelista"/>
        <w:numPr>
          <w:ilvl w:val="0"/>
          <w:numId w:val="1"/>
        </w:numPr>
        <w:jc w:val="both"/>
      </w:pPr>
      <w:r>
        <w:t xml:space="preserve">La Sra. </w:t>
      </w:r>
      <w:proofErr w:type="spellStart"/>
      <w:r>
        <w:t>Lyn</w:t>
      </w:r>
      <w:proofErr w:type="spellEnd"/>
      <w:r>
        <w:t xml:space="preserve"> </w:t>
      </w:r>
      <w:proofErr w:type="spellStart"/>
      <w:r>
        <w:t>Aqcia</w:t>
      </w:r>
      <w:proofErr w:type="spellEnd"/>
      <w:r>
        <w:t xml:space="preserve">, en su calidad de </w:t>
      </w:r>
      <w:proofErr w:type="spellStart"/>
      <w:r>
        <w:t>Chair</w:t>
      </w:r>
      <w:proofErr w:type="spellEnd"/>
      <w:r>
        <w:t xml:space="preserve"> del Comité de Inversiones y Comercio de APEC, presentó el estado de avanc</w:t>
      </w:r>
      <w:r w:rsidR="007C7AF1">
        <w:t xml:space="preserve">e de la Agenda de </w:t>
      </w:r>
      <w:proofErr w:type="spellStart"/>
      <w:r w:rsidR="007C7AF1">
        <w:t>Boracay</w:t>
      </w:r>
      <w:proofErr w:type="spellEnd"/>
      <w:r w:rsidR="007C7AF1">
        <w:t xml:space="preserve"> para G</w:t>
      </w:r>
      <w:r>
        <w:t xml:space="preserve">lobalizar a las </w:t>
      </w:r>
      <w:proofErr w:type="spellStart"/>
      <w:r>
        <w:t>PYMEs</w:t>
      </w:r>
      <w:proofErr w:type="spellEnd"/>
      <w:r>
        <w:t>, y puso especial énfasis en el “</w:t>
      </w:r>
      <w:proofErr w:type="spellStart"/>
      <w:r>
        <w:t>MSMEs</w:t>
      </w:r>
      <w:proofErr w:type="spellEnd"/>
      <w:r>
        <w:t xml:space="preserve"> Marketplace”, solicitando colaboración de ABAC.</w:t>
      </w:r>
    </w:p>
    <w:p w14:paraId="0112BAB0" w14:textId="6E44CC4F" w:rsidR="0061204B" w:rsidRDefault="0061204B" w:rsidP="0061204B">
      <w:pPr>
        <w:pStyle w:val="Prrafodelista"/>
        <w:numPr>
          <w:ilvl w:val="0"/>
          <w:numId w:val="1"/>
        </w:numPr>
        <w:jc w:val="both"/>
      </w:pPr>
      <w:r>
        <w:t xml:space="preserve">Diane Wang expuso sobre los últimos desarrollos del programa CBET para capacitar a </w:t>
      </w:r>
      <w:proofErr w:type="spellStart"/>
      <w:r>
        <w:t>PYMEs</w:t>
      </w:r>
      <w:proofErr w:type="spellEnd"/>
      <w:r>
        <w:t xml:space="preserve"> en el uso de herramientas de </w:t>
      </w:r>
      <w:r w:rsidRPr="0061204B">
        <w:rPr>
          <w:i/>
        </w:rPr>
        <w:t>e-</w:t>
      </w:r>
      <w:proofErr w:type="spellStart"/>
      <w:r w:rsidRPr="0061204B">
        <w:rPr>
          <w:i/>
        </w:rPr>
        <w:t>commerce</w:t>
      </w:r>
      <w:proofErr w:type="spellEnd"/>
      <w:r>
        <w:t xml:space="preserve">, incluyendo la sesión que desarrolló en Santiago inmediatamente posterior al ABAC4, acordado con ocasión de la reunión ABAC3 en </w:t>
      </w:r>
      <w:proofErr w:type="spellStart"/>
      <w:r>
        <w:t>Shenzhen</w:t>
      </w:r>
      <w:proofErr w:type="spellEnd"/>
      <w:r w:rsidR="006C0EE4">
        <w:t>, y organizado en conjunto con la Fundación Chilena del Pacífico</w:t>
      </w:r>
      <w:r>
        <w:t xml:space="preserve">. </w:t>
      </w:r>
    </w:p>
    <w:p w14:paraId="76B03837" w14:textId="3E8196B0" w:rsidR="0061204B" w:rsidRDefault="0061204B" w:rsidP="0061204B">
      <w:pPr>
        <w:pStyle w:val="Prrafodelista"/>
        <w:numPr>
          <w:ilvl w:val="0"/>
          <w:numId w:val="1"/>
        </w:numPr>
        <w:jc w:val="both"/>
      </w:pPr>
      <w:r>
        <w:t xml:space="preserve">Eva </w:t>
      </w:r>
      <w:proofErr w:type="spellStart"/>
      <w:r>
        <w:t>Busza</w:t>
      </w:r>
      <w:proofErr w:type="spellEnd"/>
      <w:r>
        <w:t xml:space="preserve"> de la </w:t>
      </w:r>
      <w:r w:rsidRPr="0061204B">
        <w:rPr>
          <w:i/>
        </w:rPr>
        <w:t xml:space="preserve">Asia </w:t>
      </w:r>
      <w:proofErr w:type="spellStart"/>
      <w:r w:rsidRPr="0061204B">
        <w:rPr>
          <w:i/>
        </w:rPr>
        <w:t>Pacific</w:t>
      </w:r>
      <w:proofErr w:type="spellEnd"/>
      <w:r w:rsidRPr="0061204B">
        <w:rPr>
          <w:i/>
        </w:rPr>
        <w:t xml:space="preserve"> </w:t>
      </w:r>
      <w:proofErr w:type="spellStart"/>
      <w:r w:rsidRPr="0061204B">
        <w:rPr>
          <w:i/>
        </w:rPr>
        <w:t>Foundation</w:t>
      </w:r>
      <w:proofErr w:type="spellEnd"/>
      <w:r w:rsidRPr="0061204B">
        <w:rPr>
          <w:i/>
        </w:rPr>
        <w:t xml:space="preserve"> of </w:t>
      </w:r>
      <w:proofErr w:type="spellStart"/>
      <w:r w:rsidRPr="0061204B">
        <w:rPr>
          <w:i/>
        </w:rPr>
        <w:t>Canada</w:t>
      </w:r>
      <w:proofErr w:type="spellEnd"/>
      <w:r>
        <w:t xml:space="preserve"> expuso sobre el trabajo en </w:t>
      </w:r>
      <w:proofErr w:type="spellStart"/>
      <w:r>
        <w:t>PYMEs</w:t>
      </w:r>
      <w:proofErr w:type="spellEnd"/>
      <w:r>
        <w:t xml:space="preserve"> que ha decidido llevar adelante el gobierno federal de dicho país, y que se materializará en iniciativas tanto en el grupo de </w:t>
      </w:r>
      <w:proofErr w:type="spellStart"/>
      <w:r>
        <w:t>PYMEs</w:t>
      </w:r>
      <w:proofErr w:type="spellEnd"/>
      <w:r>
        <w:t xml:space="preserve"> de ABAC como en el de APEC. </w:t>
      </w:r>
    </w:p>
    <w:p w14:paraId="4C323E01" w14:textId="5D48B96E" w:rsidR="0061204B" w:rsidRDefault="0061204B" w:rsidP="0061204B">
      <w:pPr>
        <w:pStyle w:val="Prrafodelista"/>
        <w:numPr>
          <w:ilvl w:val="0"/>
          <w:numId w:val="1"/>
        </w:numPr>
        <w:jc w:val="both"/>
      </w:pPr>
      <w:r>
        <w:t>Doris Ho, ABAC de Filipinas, presentó los avances sobre su iniciativa de negocios inclusivos, a través del cua</w:t>
      </w:r>
      <w:r w:rsidR="00790F5C">
        <w:t>l los grandes negocios pretenden</w:t>
      </w:r>
      <w:r>
        <w:t xml:space="preserve"> incorporar aquellos más pequeños a las cadenas globales y regionales de valor. </w:t>
      </w:r>
    </w:p>
    <w:p w14:paraId="7D0CE28F" w14:textId="7A27E7AE" w:rsidR="0061204B" w:rsidRPr="0061204B" w:rsidRDefault="0061204B" w:rsidP="0061204B">
      <w:pPr>
        <w:pStyle w:val="Prrafodelista"/>
        <w:numPr>
          <w:ilvl w:val="0"/>
          <w:numId w:val="1"/>
        </w:numPr>
        <w:jc w:val="both"/>
      </w:pPr>
      <w:r>
        <w:t xml:space="preserve">Malasia expuso sobre el programa </w:t>
      </w:r>
      <w:proofErr w:type="spellStart"/>
      <w:r w:rsidRPr="0061204B">
        <w:rPr>
          <w:i/>
        </w:rPr>
        <w:t>MyAPEC</w:t>
      </w:r>
      <w:proofErr w:type="spellEnd"/>
      <w:r w:rsidRPr="0061204B">
        <w:rPr>
          <w:i/>
        </w:rPr>
        <w:t xml:space="preserve"> </w:t>
      </w:r>
      <w:proofErr w:type="spellStart"/>
      <w:r w:rsidRPr="0061204B">
        <w:rPr>
          <w:i/>
        </w:rPr>
        <w:t>Youthconnect</w:t>
      </w:r>
      <w:proofErr w:type="spellEnd"/>
      <w:r>
        <w:t xml:space="preserve">, mediante el cual estudiantes de la región APEC tendrán la oportunidad de realizar pasantías profesionales en empresas de dicho país. 5 estudiantes de la Universidad de Chile se encuentran actualmente postulando. </w:t>
      </w:r>
      <w:r w:rsidRPr="0061204B">
        <w:rPr>
          <w:i/>
        </w:rPr>
        <w:t xml:space="preserve"> </w:t>
      </w:r>
    </w:p>
    <w:p w14:paraId="67EFFF16" w14:textId="23ACD5A6" w:rsidR="0061204B" w:rsidRDefault="0061204B" w:rsidP="0061204B">
      <w:pPr>
        <w:pStyle w:val="Prrafodelista"/>
        <w:numPr>
          <w:ilvl w:val="0"/>
          <w:numId w:val="1"/>
        </w:numPr>
        <w:jc w:val="both"/>
      </w:pPr>
      <w:r>
        <w:t xml:space="preserve">Finalmente se acordó seguir fomentando el programa </w:t>
      </w:r>
      <w:proofErr w:type="spellStart"/>
      <w:r>
        <w:t>We</w:t>
      </w:r>
      <w:proofErr w:type="spellEnd"/>
      <w:r>
        <w:t xml:space="preserve"> </w:t>
      </w:r>
      <w:proofErr w:type="spellStart"/>
      <w:r>
        <w:t>Connect</w:t>
      </w:r>
      <w:proofErr w:type="spellEnd"/>
      <w:r>
        <w:t xml:space="preserve"> para incentivar el emprendimiento femenino. </w:t>
      </w:r>
    </w:p>
    <w:p w14:paraId="63A7491D" w14:textId="77777777" w:rsidR="0061204B" w:rsidRDefault="0061204B" w:rsidP="0061204B">
      <w:pPr>
        <w:jc w:val="both"/>
      </w:pPr>
    </w:p>
    <w:p w14:paraId="7E4E2F05" w14:textId="6EBB4BC2" w:rsidR="0061204B" w:rsidRDefault="0061204B" w:rsidP="0061204B">
      <w:pPr>
        <w:jc w:val="both"/>
      </w:pPr>
      <w:r>
        <w:t xml:space="preserve">En el grupo de Desarrollo Sustentable </w:t>
      </w:r>
      <w:r w:rsidR="002505ED">
        <w:t>se focalizó en los resultados de la Semana de la Seguridad Alimentaria celebrada en Piura, Perú, durante el mes</w:t>
      </w:r>
      <w:r w:rsidR="00790F5C">
        <w:t xml:space="preserve"> de septiembre. Sobre esta, Tony</w:t>
      </w:r>
      <w:r w:rsidR="002505ED">
        <w:t xml:space="preserve"> </w:t>
      </w:r>
      <w:proofErr w:type="spellStart"/>
      <w:r w:rsidR="002505ED">
        <w:t>No</w:t>
      </w:r>
      <w:r w:rsidR="00790F5C">
        <w:t>w</w:t>
      </w:r>
      <w:r w:rsidR="002505ED">
        <w:t>ell</w:t>
      </w:r>
      <w:proofErr w:type="spellEnd"/>
      <w:r w:rsidR="002505ED">
        <w:t xml:space="preserve">, de Nueva Zelanda, expuso los principales resultados, entre los que resalta el estudio encargado por ABAC a la Marshall </w:t>
      </w:r>
      <w:proofErr w:type="spellStart"/>
      <w:r w:rsidR="002505ED">
        <w:t>School</w:t>
      </w:r>
      <w:proofErr w:type="spellEnd"/>
      <w:r w:rsidR="002505ED">
        <w:t xml:space="preserve"> of </w:t>
      </w:r>
      <w:proofErr w:type="spellStart"/>
      <w:r w:rsidR="002505ED">
        <w:t>Economics</w:t>
      </w:r>
      <w:proofErr w:type="spellEnd"/>
      <w:r w:rsidR="002505ED">
        <w:t xml:space="preserve"> sobre Medidas no Arancelarias en la Industria Alimenticia. Este estudio, realizado mediante entrevistas a más de 400 operadores de toda la región APEC, constató un preocupante </w:t>
      </w:r>
      <w:r w:rsidR="00790F5C">
        <w:t xml:space="preserve">aumento </w:t>
      </w:r>
      <w:r w:rsidR="002505ED">
        <w:t>de barreras en este mercado, totalizando un 60% del total</w:t>
      </w:r>
      <w:r w:rsidR="007C7AF1">
        <w:t xml:space="preserve"> de medidas no </w:t>
      </w:r>
      <w:r w:rsidR="007C7AF1">
        <w:lastRenderedPageBreak/>
        <w:t>arancelarias existentes</w:t>
      </w:r>
      <w:r w:rsidR="002505ED">
        <w:t>. Se hizo un llamado a APEC a combatirlas y a enfrentar esta realidad en el FTAAP. En otros aspectos, también se presentaron los resultados preliminares del estudio sobre el estado de derecho</w:t>
      </w:r>
      <w:r w:rsidR="007C7AF1">
        <w:t xml:space="preserve"> (</w:t>
      </w:r>
      <w:r w:rsidR="007C7AF1" w:rsidRPr="007C7AF1">
        <w:rPr>
          <w:i/>
        </w:rPr>
        <w:t xml:space="preserve">rule of </w:t>
      </w:r>
      <w:proofErr w:type="spellStart"/>
      <w:r w:rsidR="007C7AF1" w:rsidRPr="007C7AF1">
        <w:rPr>
          <w:i/>
        </w:rPr>
        <w:t>law</w:t>
      </w:r>
      <w:proofErr w:type="spellEnd"/>
      <w:r w:rsidR="007C7AF1">
        <w:t>)</w:t>
      </w:r>
      <w:r w:rsidR="002505ED">
        <w:t xml:space="preserve"> </w:t>
      </w:r>
      <w:r w:rsidR="006C0EE4">
        <w:t>que ha promovido el C</w:t>
      </w:r>
      <w:r w:rsidR="002505ED">
        <w:t xml:space="preserve">onsejo, resaltando que según el estudio la falta de certidumbre jurídica es una de las principales razones por las que los inversionistas extranjeros deciden declinar de entrar a un mercado. En cuanto al tema de seguridad energética, ABAC Japón presentó con meros fines informativos un sistema de generación </w:t>
      </w:r>
      <w:r w:rsidR="00A001F6">
        <w:t>eléctrica llamado “</w:t>
      </w:r>
      <w:proofErr w:type="spellStart"/>
      <w:r w:rsidR="00A001F6">
        <w:t>Heat</w:t>
      </w:r>
      <w:proofErr w:type="spellEnd"/>
      <w:r w:rsidR="00A001F6">
        <w:t xml:space="preserve"> </w:t>
      </w:r>
      <w:proofErr w:type="spellStart"/>
      <w:r w:rsidR="00A001F6">
        <w:t>Pump</w:t>
      </w:r>
      <w:proofErr w:type="spellEnd"/>
      <w:r w:rsidR="00A001F6">
        <w:t xml:space="preserve">” que su gobierno está promocionando como alternativa sustentable. </w:t>
      </w:r>
    </w:p>
    <w:p w14:paraId="4A1CBA22" w14:textId="77777777" w:rsidR="00A001F6" w:rsidRDefault="00A001F6" w:rsidP="0061204B">
      <w:pPr>
        <w:jc w:val="both"/>
      </w:pPr>
    </w:p>
    <w:p w14:paraId="44CFCFB5" w14:textId="6BE28D57" w:rsidR="00A001F6" w:rsidRDefault="00A001F6" w:rsidP="0061204B">
      <w:pPr>
        <w:jc w:val="both"/>
      </w:pPr>
      <w:r>
        <w:t xml:space="preserve">En el grupo de Conectividad el </w:t>
      </w:r>
      <w:proofErr w:type="spellStart"/>
      <w:r>
        <w:t>Chair</w:t>
      </w:r>
      <w:proofErr w:type="spellEnd"/>
      <w:r>
        <w:t xml:space="preserve"> del Comité Económico de APEC, </w:t>
      </w:r>
      <w:proofErr w:type="spellStart"/>
      <w:r>
        <w:t>Rory</w:t>
      </w:r>
      <w:proofErr w:type="spellEnd"/>
      <w:r>
        <w:t xml:space="preserve"> </w:t>
      </w:r>
      <w:proofErr w:type="spellStart"/>
      <w:r>
        <w:t>McLeod</w:t>
      </w:r>
      <w:proofErr w:type="spellEnd"/>
      <w:r>
        <w:t xml:space="preserve">, presentó el estudio sobre Reforma Estructural y Servicios que llevó adelante el Comité este año, en el que entre otros casos se estudió la reforma al sistema de transporte aéreo realizado en Chile. </w:t>
      </w:r>
      <w:r w:rsidR="00CD56DE">
        <w:t xml:space="preserve">Nueva Zelanda expuso los avances sobre su proyecto para ampliar la utilización de Global Data </w:t>
      </w:r>
      <w:proofErr w:type="spellStart"/>
      <w:r w:rsidR="00CD56DE">
        <w:t>Standards</w:t>
      </w:r>
      <w:proofErr w:type="spellEnd"/>
      <w:r w:rsidR="00CD56DE">
        <w:t xml:space="preserve"> en la región, informando que se presentarán los resultados de la primera fase en la primera reunión de Comité de Inversiones y Comercio de 2017. Finalmente, por iniciativa de ABAC Estados Unidos, ABAC decidió promover la “cuarta revolución”, la digital, como un tema prioritario, comprometiéndose a identificar todas las áreas en que las nuevas tecnologías digitales pueden incrementar dramáticamente la productividad. </w:t>
      </w:r>
    </w:p>
    <w:p w14:paraId="39092CE2" w14:textId="77777777" w:rsidR="00E9772E" w:rsidRDefault="00E9772E" w:rsidP="0048667C">
      <w:pPr>
        <w:jc w:val="both"/>
      </w:pPr>
    </w:p>
    <w:p w14:paraId="230091D2" w14:textId="606FD840" w:rsidR="00CD56DE" w:rsidRDefault="00CD56DE" w:rsidP="0048667C">
      <w:pPr>
        <w:jc w:val="both"/>
      </w:pPr>
      <w:r>
        <w:t xml:space="preserve">En cuanto a las recomendaciones que decidieron hacer los ABAC a los Líderes, cabe destacar: </w:t>
      </w:r>
    </w:p>
    <w:p w14:paraId="648BC0C9" w14:textId="77777777" w:rsidR="00CD56DE" w:rsidRDefault="00CD56DE" w:rsidP="0048667C">
      <w:pPr>
        <w:jc w:val="both"/>
      </w:pPr>
    </w:p>
    <w:p w14:paraId="6C84D24F" w14:textId="77777777" w:rsidR="00CD56DE" w:rsidRPr="00CD56DE" w:rsidRDefault="00CD56DE" w:rsidP="00CD56DE">
      <w:pPr>
        <w:numPr>
          <w:ilvl w:val="0"/>
          <w:numId w:val="2"/>
        </w:numPr>
        <w:jc w:val="both"/>
        <w:rPr>
          <w:lang w:val="es-CL"/>
        </w:rPr>
      </w:pPr>
      <w:r w:rsidRPr="00CD56DE">
        <w:rPr>
          <w:u w:val="single"/>
          <w:lang w:val="es-CL"/>
        </w:rPr>
        <w:t>Comercio digital</w:t>
      </w:r>
      <w:r w:rsidRPr="00CD56DE">
        <w:rPr>
          <w:lang w:val="es-CL"/>
        </w:rPr>
        <w:t xml:space="preserve">: ABAC destaca la importancia del tema, y hace una llamando al foro a desempeñar un rol de vanguardia en la materia. Asimismo, se destaca la relevancia de la tecnología como un facilitador de negocios para todos los actores de la economía, especialmente para aquellos que, por distintas razones, enfrentan mayores barreras en su inclusión en el proceso exportador, como las </w:t>
      </w:r>
      <w:proofErr w:type="spellStart"/>
      <w:r w:rsidRPr="00CD56DE">
        <w:rPr>
          <w:lang w:val="es-CL"/>
        </w:rPr>
        <w:t>PYMEs</w:t>
      </w:r>
      <w:proofErr w:type="spellEnd"/>
      <w:r w:rsidRPr="00CD56DE">
        <w:rPr>
          <w:lang w:val="es-CL"/>
        </w:rPr>
        <w:t xml:space="preserve"> y las mujeres. En esta línea, proponen incrementar la inversión en infraestructura tecnológica, y la alfabetización digital de los distintos actores. </w:t>
      </w:r>
    </w:p>
    <w:p w14:paraId="3E852399" w14:textId="77777777" w:rsidR="00CD56DE" w:rsidRPr="00CD56DE" w:rsidRDefault="00CD56DE" w:rsidP="00CD56DE">
      <w:pPr>
        <w:jc w:val="both"/>
        <w:rPr>
          <w:lang w:val="es-CL"/>
        </w:rPr>
      </w:pPr>
    </w:p>
    <w:p w14:paraId="14B38B03" w14:textId="77777777" w:rsidR="00CD56DE" w:rsidRPr="00CD56DE" w:rsidRDefault="00CD56DE" w:rsidP="00CD56DE">
      <w:pPr>
        <w:numPr>
          <w:ilvl w:val="0"/>
          <w:numId w:val="2"/>
        </w:numPr>
        <w:jc w:val="both"/>
        <w:rPr>
          <w:lang w:val="es-ES"/>
        </w:rPr>
      </w:pPr>
      <w:r w:rsidRPr="00CD56DE">
        <w:rPr>
          <w:u w:val="single"/>
          <w:lang w:val="es-CL"/>
        </w:rPr>
        <w:t>Resistir el proteccionismo y avanzar hacia el FTAAP</w:t>
      </w:r>
      <w:r w:rsidRPr="00CD56DE">
        <w:rPr>
          <w:lang w:val="es-CL"/>
        </w:rPr>
        <w:t xml:space="preserve">: ABAC recomienda a los Líderes  suscribir objetivos ambiciosos y establecer una agenda de trabajo concreta, con miras a la pronta concreción de este acuerdo. Cabe </w:t>
      </w:r>
      <w:r w:rsidRPr="00CD56DE">
        <w:rPr>
          <w:lang w:val="es-ES"/>
        </w:rPr>
        <w:t>también resaltar que ABAC nuevamente considera a la Alianza de Pacífico como una contribución para el FTAAP, tal como lo hicieron el año pasado.</w:t>
      </w:r>
    </w:p>
    <w:p w14:paraId="46E8B12E" w14:textId="77777777" w:rsidR="00CD56DE" w:rsidRPr="00CD56DE" w:rsidRDefault="00CD56DE" w:rsidP="00CD56DE">
      <w:pPr>
        <w:jc w:val="both"/>
        <w:rPr>
          <w:lang w:val="es-ES"/>
        </w:rPr>
      </w:pPr>
    </w:p>
    <w:p w14:paraId="67E2094D" w14:textId="77777777" w:rsidR="00CD56DE" w:rsidRPr="00CD56DE" w:rsidRDefault="00CD56DE" w:rsidP="00CD56DE">
      <w:pPr>
        <w:numPr>
          <w:ilvl w:val="0"/>
          <w:numId w:val="2"/>
        </w:numPr>
        <w:jc w:val="both"/>
        <w:rPr>
          <w:lang w:val="es-ES"/>
        </w:rPr>
      </w:pPr>
      <w:r w:rsidRPr="00CD56DE">
        <w:rPr>
          <w:u w:val="single"/>
          <w:lang w:val="es-ES"/>
        </w:rPr>
        <w:t>Servicios</w:t>
      </w:r>
      <w:r w:rsidRPr="00CD56DE">
        <w:rPr>
          <w:lang w:val="es-ES"/>
        </w:rPr>
        <w:t xml:space="preserve">: Agradecen el trabajo que ha desarrollado el foro mediante la suscripción del </w:t>
      </w:r>
      <w:r w:rsidRPr="00CD56DE">
        <w:rPr>
          <w:i/>
          <w:lang w:val="es-ES"/>
        </w:rPr>
        <w:t xml:space="preserve">APEC </w:t>
      </w:r>
      <w:proofErr w:type="spellStart"/>
      <w:r w:rsidRPr="00CD56DE">
        <w:rPr>
          <w:i/>
          <w:lang w:val="es-ES"/>
        </w:rPr>
        <w:t>Services</w:t>
      </w:r>
      <w:proofErr w:type="spellEnd"/>
      <w:r w:rsidRPr="00CD56DE">
        <w:rPr>
          <w:i/>
          <w:lang w:val="es-ES"/>
        </w:rPr>
        <w:t xml:space="preserve"> </w:t>
      </w:r>
      <w:proofErr w:type="spellStart"/>
      <w:r w:rsidRPr="00CD56DE">
        <w:rPr>
          <w:i/>
          <w:lang w:val="es-ES"/>
        </w:rPr>
        <w:t>Competitivenes</w:t>
      </w:r>
      <w:proofErr w:type="spellEnd"/>
      <w:r w:rsidRPr="00CD56DE">
        <w:rPr>
          <w:i/>
          <w:lang w:val="es-ES"/>
        </w:rPr>
        <w:t xml:space="preserve"> </w:t>
      </w:r>
      <w:proofErr w:type="spellStart"/>
      <w:r w:rsidRPr="00CD56DE">
        <w:rPr>
          <w:i/>
          <w:lang w:val="es-ES"/>
        </w:rPr>
        <w:t>Roadmap</w:t>
      </w:r>
      <w:proofErr w:type="spellEnd"/>
      <w:r w:rsidRPr="00CD56DE">
        <w:rPr>
          <w:lang w:val="es-ES"/>
        </w:rPr>
        <w:t>, y solicitan buscar objetivos concretos, especialmente en los servicios “</w:t>
      </w:r>
      <w:proofErr w:type="spellStart"/>
      <w:r w:rsidRPr="00CD56DE">
        <w:rPr>
          <w:i/>
          <w:lang w:val="es-ES"/>
        </w:rPr>
        <w:t>backbone</w:t>
      </w:r>
      <w:proofErr w:type="spellEnd"/>
      <w:r w:rsidRPr="00CD56DE">
        <w:rPr>
          <w:lang w:val="es-ES"/>
        </w:rPr>
        <w:t>”, que son aquellos que permiten incrementar el comercio de otros servicios y mejoran la competitividad de estos mercados, como los servicios  financieros, transporte, logística y telecomunicaciones, entre otros.</w:t>
      </w:r>
    </w:p>
    <w:p w14:paraId="658BB5C6" w14:textId="77777777" w:rsidR="00CD56DE" w:rsidRPr="00CD56DE" w:rsidRDefault="00CD56DE" w:rsidP="00CD56DE">
      <w:pPr>
        <w:jc w:val="both"/>
        <w:rPr>
          <w:lang w:val="es-ES"/>
        </w:rPr>
      </w:pPr>
    </w:p>
    <w:p w14:paraId="3BC94EDD" w14:textId="77777777" w:rsidR="00CD56DE" w:rsidRPr="00CD56DE" w:rsidRDefault="00CD56DE" w:rsidP="00CD56DE">
      <w:pPr>
        <w:jc w:val="both"/>
        <w:rPr>
          <w:lang w:val="es-CL"/>
        </w:rPr>
      </w:pPr>
      <w:r w:rsidRPr="00CD56DE">
        <w:rPr>
          <w:lang w:val="es-ES"/>
        </w:rPr>
        <w:t>Junto con lo anterior</w:t>
      </w:r>
      <w:r w:rsidRPr="00CD56DE">
        <w:rPr>
          <w:lang w:val="es-CL"/>
        </w:rPr>
        <w:t xml:space="preserve">, ABAC también incluyó recomendaciones a los Líderes en las diferentes áreas de sus grupos de trabajo, tales como: </w:t>
      </w:r>
    </w:p>
    <w:p w14:paraId="34E33746" w14:textId="77777777" w:rsidR="00CD56DE" w:rsidRPr="00CD56DE" w:rsidRDefault="00CD56DE" w:rsidP="00CD56DE">
      <w:pPr>
        <w:jc w:val="both"/>
        <w:rPr>
          <w:lang w:val="es-CL"/>
        </w:rPr>
      </w:pPr>
    </w:p>
    <w:p w14:paraId="0BCC3ABF" w14:textId="77777777" w:rsidR="00CD56DE" w:rsidRPr="00CD56DE" w:rsidRDefault="00CD56DE" w:rsidP="00CD56DE">
      <w:pPr>
        <w:numPr>
          <w:ilvl w:val="0"/>
          <w:numId w:val="3"/>
        </w:numPr>
        <w:jc w:val="both"/>
        <w:rPr>
          <w:lang w:val="es-CL"/>
        </w:rPr>
      </w:pPr>
      <w:r w:rsidRPr="00CD56DE">
        <w:rPr>
          <w:lang w:val="es-CL"/>
        </w:rPr>
        <w:t xml:space="preserve">Disminuir las barreras que enfrentan las </w:t>
      </w:r>
      <w:proofErr w:type="spellStart"/>
      <w:r w:rsidRPr="00CD56DE">
        <w:rPr>
          <w:lang w:val="es-CL"/>
        </w:rPr>
        <w:t>PYMEs</w:t>
      </w:r>
      <w:proofErr w:type="spellEnd"/>
      <w:r w:rsidRPr="00CD56DE">
        <w:rPr>
          <w:lang w:val="es-CL"/>
        </w:rPr>
        <w:t xml:space="preserve">, a fin de permitir que se sumen a la cadena exportadora, facilitar su acceso al crédito, y capacitarlas para mejorar su aprovechamiento tanto de los acuerdos existentes como de los instrumentos tecnológicos; </w:t>
      </w:r>
    </w:p>
    <w:p w14:paraId="34F65B59" w14:textId="77777777" w:rsidR="00CD56DE" w:rsidRPr="00CD56DE" w:rsidRDefault="00CD56DE" w:rsidP="00CD56DE">
      <w:pPr>
        <w:numPr>
          <w:ilvl w:val="0"/>
          <w:numId w:val="3"/>
        </w:numPr>
        <w:jc w:val="both"/>
        <w:rPr>
          <w:lang w:val="es-CL"/>
        </w:rPr>
      </w:pPr>
      <w:r w:rsidRPr="00CD56DE">
        <w:rPr>
          <w:lang w:val="es-CL"/>
        </w:rPr>
        <w:t xml:space="preserve">Aumentar la inversión en infraestructura, con especial atención en la infraestructura digital, e incentivar al sector privado a invertir en este ámbito; </w:t>
      </w:r>
    </w:p>
    <w:p w14:paraId="6A1B3461" w14:textId="77777777" w:rsidR="00CD56DE" w:rsidRPr="00CD56DE" w:rsidRDefault="00CD56DE" w:rsidP="00CD56DE">
      <w:pPr>
        <w:numPr>
          <w:ilvl w:val="0"/>
          <w:numId w:val="3"/>
        </w:numPr>
        <w:jc w:val="both"/>
        <w:rPr>
          <w:lang w:val="es-CL"/>
        </w:rPr>
      </w:pPr>
      <w:r w:rsidRPr="00CD56DE">
        <w:rPr>
          <w:lang w:val="es-CL"/>
        </w:rPr>
        <w:t xml:space="preserve">Fortalecer la seguridad energética; </w:t>
      </w:r>
    </w:p>
    <w:p w14:paraId="30B55F48" w14:textId="77777777" w:rsidR="00CD56DE" w:rsidRPr="00CD56DE" w:rsidRDefault="00CD56DE" w:rsidP="00CD56DE">
      <w:pPr>
        <w:numPr>
          <w:ilvl w:val="0"/>
          <w:numId w:val="3"/>
        </w:numPr>
        <w:jc w:val="both"/>
        <w:rPr>
          <w:lang w:val="es-CL"/>
        </w:rPr>
      </w:pPr>
      <w:r w:rsidRPr="00CD56DE">
        <w:rPr>
          <w:lang w:val="es-CL"/>
        </w:rPr>
        <w:t xml:space="preserve">Aumentar la productividad del sector rural mediante el aprovechamiento de nuevas tecnologías y el mejoramiento de la infraestructura; </w:t>
      </w:r>
    </w:p>
    <w:p w14:paraId="3915122A" w14:textId="77777777" w:rsidR="00CD56DE" w:rsidRPr="00CD56DE" w:rsidRDefault="00CD56DE" w:rsidP="00CD56DE">
      <w:pPr>
        <w:numPr>
          <w:ilvl w:val="0"/>
          <w:numId w:val="3"/>
        </w:numPr>
        <w:jc w:val="both"/>
        <w:rPr>
          <w:lang w:val="es-CL"/>
        </w:rPr>
      </w:pPr>
      <w:r w:rsidRPr="00CD56DE">
        <w:rPr>
          <w:lang w:val="es-CL"/>
        </w:rPr>
        <w:t xml:space="preserve">Fortalecer el estado de derecho; y </w:t>
      </w:r>
    </w:p>
    <w:p w14:paraId="7866BA42" w14:textId="77777777" w:rsidR="00CD56DE" w:rsidRPr="00CD56DE" w:rsidRDefault="00CD56DE" w:rsidP="00CD56DE">
      <w:pPr>
        <w:numPr>
          <w:ilvl w:val="0"/>
          <w:numId w:val="3"/>
        </w:numPr>
        <w:jc w:val="both"/>
        <w:rPr>
          <w:lang w:val="es-CL"/>
        </w:rPr>
      </w:pPr>
      <w:r w:rsidRPr="00CD56DE">
        <w:rPr>
          <w:lang w:val="es-CL"/>
        </w:rPr>
        <w:t xml:space="preserve">Adoptar buenas prácticas regulatorias que eviten el exceso de regulaciones. </w:t>
      </w:r>
    </w:p>
    <w:p w14:paraId="3DC80B68" w14:textId="77777777" w:rsidR="00CD56DE" w:rsidRDefault="00CD56DE" w:rsidP="0048667C">
      <w:pPr>
        <w:jc w:val="both"/>
      </w:pPr>
    </w:p>
    <w:p w14:paraId="3EA9548D" w14:textId="7C48C412" w:rsidR="006A1CF9" w:rsidRDefault="006A1CF9" w:rsidP="0048667C">
      <w:pPr>
        <w:jc w:val="both"/>
      </w:pPr>
      <w:r>
        <w:t>También se hizo una presentación del tema y de las prioridades de trabajo de ABAC para el año 2017</w:t>
      </w:r>
      <w:r w:rsidR="006C0EE4">
        <w:t>, el cual será presidido por Vietnam.  Estos</w:t>
      </w:r>
      <w:r>
        <w:t xml:space="preserve"> son las siguientes:</w:t>
      </w:r>
    </w:p>
    <w:p w14:paraId="2E7673F1" w14:textId="77777777" w:rsidR="006A1CF9" w:rsidRDefault="006A1CF9" w:rsidP="0048667C">
      <w:pPr>
        <w:jc w:val="both"/>
      </w:pPr>
    </w:p>
    <w:p w14:paraId="747793C4" w14:textId="77777777" w:rsidR="006A1CF9" w:rsidRPr="006A1CF9" w:rsidRDefault="006A1CF9" w:rsidP="006A1CF9">
      <w:pPr>
        <w:jc w:val="both"/>
        <w:rPr>
          <w:lang w:val="en-US"/>
        </w:rPr>
      </w:pPr>
      <w:proofErr w:type="spellStart"/>
      <w:r w:rsidRPr="006A1CF9">
        <w:rPr>
          <w:u w:val="single"/>
          <w:lang w:val="en-US"/>
        </w:rPr>
        <w:t>Tema</w:t>
      </w:r>
      <w:proofErr w:type="spellEnd"/>
      <w:r w:rsidRPr="006A1CF9">
        <w:rPr>
          <w:lang w:val="en-US"/>
        </w:rPr>
        <w:t>: “</w:t>
      </w:r>
      <w:r w:rsidRPr="006A1CF9">
        <w:rPr>
          <w:i/>
          <w:lang w:val="en-US"/>
        </w:rPr>
        <w:t>Creating new dynamism, fostering shared future</w:t>
      </w:r>
      <w:r w:rsidRPr="006A1CF9">
        <w:rPr>
          <w:lang w:val="en-US"/>
        </w:rPr>
        <w:t>”</w:t>
      </w:r>
    </w:p>
    <w:p w14:paraId="26F398E9" w14:textId="77777777" w:rsidR="006A1CF9" w:rsidRPr="006A1CF9" w:rsidRDefault="006A1CF9" w:rsidP="006A1CF9">
      <w:pPr>
        <w:jc w:val="both"/>
        <w:rPr>
          <w:u w:val="single"/>
          <w:lang w:val="en-US"/>
        </w:rPr>
      </w:pPr>
    </w:p>
    <w:p w14:paraId="6A3DF01E" w14:textId="77777777" w:rsidR="006A1CF9" w:rsidRPr="006A1CF9" w:rsidRDefault="006A1CF9" w:rsidP="006A1CF9">
      <w:pPr>
        <w:jc w:val="both"/>
        <w:rPr>
          <w:lang w:val="en-US"/>
        </w:rPr>
      </w:pPr>
      <w:proofErr w:type="spellStart"/>
      <w:r w:rsidRPr="006A1CF9">
        <w:rPr>
          <w:u w:val="single"/>
          <w:lang w:val="en-US"/>
        </w:rPr>
        <w:t>Prioridades</w:t>
      </w:r>
      <w:proofErr w:type="spellEnd"/>
      <w:r w:rsidRPr="006A1CF9">
        <w:rPr>
          <w:lang w:val="en-US"/>
        </w:rPr>
        <w:t>:</w:t>
      </w:r>
    </w:p>
    <w:p w14:paraId="6531A80E" w14:textId="77777777" w:rsidR="006A1CF9" w:rsidRPr="006A1CF9" w:rsidRDefault="006A1CF9" w:rsidP="006A1CF9">
      <w:pPr>
        <w:jc w:val="both"/>
        <w:rPr>
          <w:lang w:val="en-US"/>
        </w:rPr>
      </w:pPr>
    </w:p>
    <w:p w14:paraId="3D091646" w14:textId="77777777" w:rsidR="006A1CF9" w:rsidRPr="006A1CF9" w:rsidRDefault="006A1CF9" w:rsidP="006A1CF9">
      <w:pPr>
        <w:numPr>
          <w:ilvl w:val="0"/>
          <w:numId w:val="4"/>
        </w:numPr>
        <w:jc w:val="both"/>
        <w:rPr>
          <w:lang w:val="en-US"/>
        </w:rPr>
      </w:pPr>
      <w:r w:rsidRPr="006A1CF9">
        <w:rPr>
          <w:i/>
          <w:lang w:val="en-US"/>
        </w:rPr>
        <w:t>Deepening regional economic integration</w:t>
      </w:r>
      <w:r w:rsidRPr="006A1CF9">
        <w:rPr>
          <w:lang w:val="en-US"/>
        </w:rPr>
        <w:t>;</w:t>
      </w:r>
    </w:p>
    <w:p w14:paraId="20A85891" w14:textId="77777777" w:rsidR="006A1CF9" w:rsidRPr="006A1CF9" w:rsidRDefault="006A1CF9" w:rsidP="006A1CF9">
      <w:pPr>
        <w:numPr>
          <w:ilvl w:val="0"/>
          <w:numId w:val="4"/>
        </w:numPr>
        <w:jc w:val="both"/>
        <w:rPr>
          <w:lang w:val="en-US"/>
        </w:rPr>
      </w:pPr>
      <w:r w:rsidRPr="006A1CF9">
        <w:rPr>
          <w:i/>
          <w:lang w:val="en-US"/>
        </w:rPr>
        <w:t>Achieving sustainable, innovative and inclusive growth</w:t>
      </w:r>
      <w:r w:rsidRPr="006A1CF9">
        <w:rPr>
          <w:lang w:val="en-US"/>
        </w:rPr>
        <w:t>;</w:t>
      </w:r>
    </w:p>
    <w:p w14:paraId="755A840C" w14:textId="77777777" w:rsidR="006A1CF9" w:rsidRPr="006A1CF9" w:rsidRDefault="006A1CF9" w:rsidP="006A1CF9">
      <w:pPr>
        <w:numPr>
          <w:ilvl w:val="0"/>
          <w:numId w:val="4"/>
        </w:numPr>
        <w:jc w:val="both"/>
        <w:rPr>
          <w:lang w:val="en-US"/>
        </w:rPr>
      </w:pPr>
      <w:r w:rsidRPr="006A1CF9">
        <w:rPr>
          <w:i/>
          <w:lang w:val="en-US"/>
        </w:rPr>
        <w:t>Enhancing MSMEs’ competitiveness and encouraging innovation in the digital era</w:t>
      </w:r>
      <w:r w:rsidRPr="006A1CF9">
        <w:rPr>
          <w:lang w:val="en-US"/>
        </w:rPr>
        <w:t>; y</w:t>
      </w:r>
    </w:p>
    <w:p w14:paraId="2C88A43E" w14:textId="77777777" w:rsidR="006A1CF9" w:rsidRDefault="006A1CF9" w:rsidP="006A1CF9">
      <w:pPr>
        <w:numPr>
          <w:ilvl w:val="0"/>
          <w:numId w:val="4"/>
        </w:numPr>
        <w:jc w:val="both"/>
        <w:rPr>
          <w:lang w:val="en-US"/>
        </w:rPr>
      </w:pPr>
      <w:r w:rsidRPr="006A1CF9">
        <w:rPr>
          <w:i/>
          <w:lang w:val="en-US"/>
        </w:rPr>
        <w:t>Ensuring food security and promoting sustainable and climate smart agriculture</w:t>
      </w:r>
      <w:r w:rsidRPr="006A1CF9">
        <w:rPr>
          <w:lang w:val="en-US"/>
        </w:rPr>
        <w:t xml:space="preserve">. </w:t>
      </w:r>
    </w:p>
    <w:p w14:paraId="19221E3D" w14:textId="77777777" w:rsidR="006A1CF9" w:rsidRDefault="006A1CF9" w:rsidP="006A1CF9">
      <w:pPr>
        <w:jc w:val="both"/>
        <w:rPr>
          <w:lang w:val="en-US"/>
        </w:rPr>
      </w:pPr>
    </w:p>
    <w:p w14:paraId="4CEEC162" w14:textId="16D6A618" w:rsidR="006A1CF9" w:rsidRPr="00452288" w:rsidRDefault="006A1CF9" w:rsidP="006A1CF9">
      <w:pPr>
        <w:jc w:val="both"/>
        <w:rPr>
          <w:lang w:val="es-CL"/>
        </w:rPr>
      </w:pPr>
      <w:r w:rsidRPr="00452288">
        <w:rPr>
          <w:lang w:val="es-CL"/>
        </w:rPr>
        <w:t>Los ABAC decidieron que durante el próximo año 2017 se juntarán las siguientes fechas:</w:t>
      </w:r>
    </w:p>
    <w:p w14:paraId="713EF1FF" w14:textId="77777777" w:rsidR="006A1CF9" w:rsidRPr="00452288" w:rsidRDefault="006A1CF9" w:rsidP="006A1CF9">
      <w:pPr>
        <w:jc w:val="both"/>
        <w:rPr>
          <w:lang w:val="es-CL"/>
        </w:rPr>
      </w:pPr>
    </w:p>
    <w:p w14:paraId="43AEB445" w14:textId="53FB9101" w:rsidR="006A1CF9" w:rsidRPr="00452288" w:rsidRDefault="006A1CF9" w:rsidP="006A1CF9">
      <w:pPr>
        <w:pStyle w:val="Prrafodelista"/>
        <w:numPr>
          <w:ilvl w:val="0"/>
          <w:numId w:val="5"/>
        </w:numPr>
        <w:jc w:val="both"/>
        <w:rPr>
          <w:lang w:val="es-CL"/>
        </w:rPr>
      </w:pPr>
      <w:r w:rsidRPr="00452288">
        <w:rPr>
          <w:lang w:val="es-CL"/>
        </w:rPr>
        <w:t>Bangkok, Tailandia, del 18 al 23 de febrero;</w:t>
      </w:r>
    </w:p>
    <w:p w14:paraId="39814064" w14:textId="6A1C2D24" w:rsidR="006A1CF9" w:rsidRPr="00452288" w:rsidRDefault="006A1CF9" w:rsidP="006A1CF9">
      <w:pPr>
        <w:pStyle w:val="Prrafodelista"/>
        <w:numPr>
          <w:ilvl w:val="0"/>
          <w:numId w:val="5"/>
        </w:numPr>
        <w:jc w:val="both"/>
        <w:rPr>
          <w:lang w:val="es-CL"/>
        </w:rPr>
      </w:pPr>
      <w:r w:rsidRPr="00452288">
        <w:rPr>
          <w:lang w:val="es-CL"/>
        </w:rPr>
        <w:t xml:space="preserve">Seúl, Corea, del 26 al 29 de abril; </w:t>
      </w:r>
    </w:p>
    <w:p w14:paraId="468A8C27" w14:textId="4FD6C410" w:rsidR="006A1CF9" w:rsidRPr="00452288" w:rsidRDefault="006A1CF9" w:rsidP="006A1CF9">
      <w:pPr>
        <w:pStyle w:val="Prrafodelista"/>
        <w:numPr>
          <w:ilvl w:val="0"/>
          <w:numId w:val="5"/>
        </w:numPr>
        <w:jc w:val="both"/>
        <w:rPr>
          <w:lang w:val="es-CL"/>
        </w:rPr>
      </w:pPr>
      <w:r w:rsidRPr="00452288">
        <w:rPr>
          <w:lang w:val="es-CL"/>
        </w:rPr>
        <w:t xml:space="preserve">Toronto, Canadá, del 23 al 28 de julio; y </w:t>
      </w:r>
    </w:p>
    <w:p w14:paraId="74F6A867" w14:textId="35A77DD7" w:rsidR="006A1CF9" w:rsidRPr="00452288" w:rsidRDefault="006A1CF9" w:rsidP="006A1CF9">
      <w:pPr>
        <w:pStyle w:val="Prrafodelista"/>
        <w:numPr>
          <w:ilvl w:val="0"/>
          <w:numId w:val="5"/>
        </w:numPr>
        <w:jc w:val="both"/>
        <w:rPr>
          <w:lang w:val="es-CL"/>
        </w:rPr>
      </w:pPr>
      <w:proofErr w:type="spellStart"/>
      <w:r w:rsidRPr="00452288">
        <w:rPr>
          <w:lang w:val="es-CL"/>
        </w:rPr>
        <w:t>Danang</w:t>
      </w:r>
      <w:proofErr w:type="spellEnd"/>
      <w:r w:rsidRPr="00452288">
        <w:rPr>
          <w:lang w:val="es-CL"/>
        </w:rPr>
        <w:t xml:space="preserve">, Vietnam, del 5 al 7 de noviembre. </w:t>
      </w:r>
    </w:p>
    <w:p w14:paraId="7907100F" w14:textId="77777777" w:rsidR="006A1CF9" w:rsidRDefault="006A1CF9" w:rsidP="0048667C">
      <w:pPr>
        <w:jc w:val="both"/>
      </w:pPr>
    </w:p>
    <w:p w14:paraId="2B9A36C3" w14:textId="77777777" w:rsidR="00E9772E" w:rsidRPr="00E9772E" w:rsidRDefault="00E9772E" w:rsidP="00E9772E">
      <w:pPr>
        <w:jc w:val="right"/>
        <w:rPr>
          <w:b/>
        </w:rPr>
      </w:pPr>
    </w:p>
    <w:p w14:paraId="563393AE" w14:textId="32446087" w:rsidR="00E9772E" w:rsidRPr="00E9772E" w:rsidRDefault="00E9772E" w:rsidP="00E9772E">
      <w:pPr>
        <w:jc w:val="right"/>
        <w:rPr>
          <w:b/>
        </w:rPr>
      </w:pPr>
      <w:r w:rsidRPr="00E9772E">
        <w:rPr>
          <w:b/>
        </w:rPr>
        <w:t>Pedro Pablo Errázuriz Lobo</w:t>
      </w:r>
    </w:p>
    <w:p w14:paraId="313AA7CE" w14:textId="0437FAF5" w:rsidR="00E9772E" w:rsidRPr="00E9772E" w:rsidRDefault="00E9772E" w:rsidP="00E9772E">
      <w:pPr>
        <w:jc w:val="right"/>
        <w:rPr>
          <w:b/>
        </w:rPr>
      </w:pPr>
      <w:r w:rsidRPr="00E9772E">
        <w:rPr>
          <w:b/>
        </w:rPr>
        <w:t xml:space="preserve">Lead </w:t>
      </w:r>
      <w:proofErr w:type="spellStart"/>
      <w:r w:rsidRPr="00E9772E">
        <w:rPr>
          <w:b/>
        </w:rPr>
        <w:t>Staffer</w:t>
      </w:r>
      <w:proofErr w:type="spellEnd"/>
      <w:r w:rsidRPr="00E9772E">
        <w:rPr>
          <w:b/>
        </w:rPr>
        <w:t xml:space="preserve">. </w:t>
      </w:r>
    </w:p>
    <w:p w14:paraId="7C581A44" w14:textId="77777777" w:rsidR="00E93B4B" w:rsidRDefault="00E93B4B" w:rsidP="0048667C">
      <w:pPr>
        <w:jc w:val="both"/>
      </w:pPr>
    </w:p>
    <w:p w14:paraId="72A517DC" w14:textId="77777777" w:rsidR="00E93B4B" w:rsidRDefault="00E93B4B" w:rsidP="0048667C">
      <w:pPr>
        <w:jc w:val="both"/>
      </w:pPr>
    </w:p>
    <w:p w14:paraId="56442493" w14:textId="77777777" w:rsidR="00E93B4B" w:rsidRDefault="00E93B4B" w:rsidP="0048667C">
      <w:pPr>
        <w:jc w:val="both"/>
      </w:pPr>
    </w:p>
    <w:p w14:paraId="0F3BF0AD" w14:textId="77777777" w:rsidR="00E93B4B" w:rsidRDefault="00E93B4B" w:rsidP="0048667C">
      <w:pPr>
        <w:jc w:val="both"/>
      </w:pPr>
    </w:p>
    <w:sectPr w:rsidR="00E93B4B" w:rsidSect="00F55E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9BC1" w14:textId="77777777" w:rsidR="00E93B4B" w:rsidRDefault="00E93B4B" w:rsidP="00351B7E">
      <w:r>
        <w:separator/>
      </w:r>
    </w:p>
  </w:endnote>
  <w:endnote w:type="continuationSeparator" w:id="0">
    <w:p w14:paraId="1170ADBF" w14:textId="77777777" w:rsidR="00E93B4B" w:rsidRDefault="00E93B4B" w:rsidP="0035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B6F8" w14:textId="77777777" w:rsidR="00E93B4B" w:rsidRDefault="00E93B4B" w:rsidP="00351B7E">
      <w:r>
        <w:separator/>
      </w:r>
    </w:p>
  </w:footnote>
  <w:footnote w:type="continuationSeparator" w:id="0">
    <w:p w14:paraId="0E30233C" w14:textId="77777777" w:rsidR="00E93B4B" w:rsidRDefault="00E93B4B" w:rsidP="0035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4EC7"/>
    <w:multiLevelType w:val="hybridMultilevel"/>
    <w:tmpl w:val="F7FE6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B6E5321"/>
    <w:multiLevelType w:val="hybridMultilevel"/>
    <w:tmpl w:val="DB2226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1417D48"/>
    <w:multiLevelType w:val="hybridMultilevel"/>
    <w:tmpl w:val="109A3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0001B89"/>
    <w:multiLevelType w:val="hybridMultilevel"/>
    <w:tmpl w:val="17C8D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D633777"/>
    <w:multiLevelType w:val="hybridMultilevel"/>
    <w:tmpl w:val="47F8567E"/>
    <w:lvl w:ilvl="0" w:tplc="879CEC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7E"/>
    <w:rsid w:val="002505ED"/>
    <w:rsid w:val="00351B7E"/>
    <w:rsid w:val="00452288"/>
    <w:rsid w:val="00464761"/>
    <w:rsid w:val="004705C1"/>
    <w:rsid w:val="0048667C"/>
    <w:rsid w:val="0050337E"/>
    <w:rsid w:val="0051346A"/>
    <w:rsid w:val="0061204B"/>
    <w:rsid w:val="006A1CF9"/>
    <w:rsid w:val="006C0EE4"/>
    <w:rsid w:val="00790F5C"/>
    <w:rsid w:val="007C7AF1"/>
    <w:rsid w:val="00950DE3"/>
    <w:rsid w:val="00A001F6"/>
    <w:rsid w:val="00B72FF4"/>
    <w:rsid w:val="00C04D23"/>
    <w:rsid w:val="00CD56DE"/>
    <w:rsid w:val="00D32D82"/>
    <w:rsid w:val="00DD2F10"/>
    <w:rsid w:val="00E93B4B"/>
    <w:rsid w:val="00E9772E"/>
    <w:rsid w:val="00F34141"/>
    <w:rsid w:val="00F55E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8D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51B7E"/>
  </w:style>
  <w:style w:type="character" w:customStyle="1" w:styleId="TextonotapieCar">
    <w:name w:val="Texto nota pie Car"/>
    <w:basedOn w:val="Fuentedeprrafopredeter"/>
    <w:link w:val="Textonotapie"/>
    <w:uiPriority w:val="99"/>
    <w:rsid w:val="00351B7E"/>
  </w:style>
  <w:style w:type="character" w:styleId="Refdenotaalpie">
    <w:name w:val="footnote reference"/>
    <w:basedOn w:val="Fuentedeprrafopredeter"/>
    <w:uiPriority w:val="99"/>
    <w:unhideWhenUsed/>
    <w:rsid w:val="00351B7E"/>
    <w:rPr>
      <w:vertAlign w:val="superscript"/>
    </w:rPr>
  </w:style>
  <w:style w:type="paragraph" w:styleId="Prrafodelista">
    <w:name w:val="List Paragraph"/>
    <w:basedOn w:val="Normal"/>
    <w:uiPriority w:val="34"/>
    <w:qFormat/>
    <w:rsid w:val="00612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51B7E"/>
  </w:style>
  <w:style w:type="character" w:customStyle="1" w:styleId="TextonotapieCar">
    <w:name w:val="Texto nota pie Car"/>
    <w:basedOn w:val="Fuentedeprrafopredeter"/>
    <w:link w:val="Textonotapie"/>
    <w:uiPriority w:val="99"/>
    <w:rsid w:val="00351B7E"/>
  </w:style>
  <w:style w:type="character" w:styleId="Refdenotaalpie">
    <w:name w:val="footnote reference"/>
    <w:basedOn w:val="Fuentedeprrafopredeter"/>
    <w:uiPriority w:val="99"/>
    <w:unhideWhenUsed/>
    <w:rsid w:val="00351B7E"/>
    <w:rPr>
      <w:vertAlign w:val="superscript"/>
    </w:rPr>
  </w:style>
  <w:style w:type="paragraph" w:styleId="Prrafodelista">
    <w:name w:val="List Paragraph"/>
    <w:basedOn w:val="Normal"/>
    <w:uiPriority w:val="34"/>
    <w:qFormat/>
    <w:rsid w:val="0061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EBB5-6320-4AF6-9C93-5A766724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1616</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Errázuriz Lobo</dc:creator>
  <cp:lastModifiedBy>Chile</cp:lastModifiedBy>
  <cp:revision>13</cp:revision>
  <dcterms:created xsi:type="dcterms:W3CDTF">2016-12-26T19:31:00Z</dcterms:created>
  <dcterms:modified xsi:type="dcterms:W3CDTF">2017-01-11T19:48:00Z</dcterms:modified>
</cp:coreProperties>
</file>